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371" w:rsidRDefault="0020085B">
      <w:bookmarkStart w:id="0" w:name="_GoBack"/>
      <w:bookmarkEnd w:id="0"/>
      <w:r>
        <w:t xml:space="preserve">TIiRG 6220-4/2016 </w:t>
      </w:r>
      <w:r>
        <w:rPr>
          <w:sz w:val="16"/>
          <w:szCs w:val="16"/>
        </w:rPr>
        <w:t xml:space="preserve">                                                                                               </w:t>
      </w:r>
      <w:r>
        <w:t xml:space="preserve">    Boniewo, dnia, dnia 24 maja 2017 r.</w:t>
      </w:r>
    </w:p>
    <w:p w:rsidR="00BA0371" w:rsidRDefault="0020085B">
      <w:pPr>
        <w:jc w:val="center"/>
        <w:rPr>
          <w:sz w:val="16"/>
          <w:szCs w:val="16"/>
          <w:u w:val="single"/>
        </w:rPr>
      </w:pPr>
      <w:r>
        <w:rPr>
          <w:u w:val="single"/>
        </w:rPr>
        <w:t xml:space="preserve">Postanowienie  </w:t>
      </w:r>
    </w:p>
    <w:p w:rsidR="00BA0371" w:rsidRDefault="0020085B">
      <w:pPr>
        <w:jc w:val="center"/>
        <w:rPr>
          <w:sz w:val="16"/>
          <w:szCs w:val="16"/>
          <w:u w:val="single"/>
        </w:rPr>
      </w:pPr>
      <w:r>
        <w:rPr>
          <w:u w:val="single"/>
        </w:rPr>
        <w:t xml:space="preserve">stwierdzające obowiązek przeprowadzenia </w:t>
      </w:r>
    </w:p>
    <w:p w:rsidR="00BA0371" w:rsidRDefault="0020085B">
      <w:pPr>
        <w:jc w:val="center"/>
        <w:rPr>
          <w:sz w:val="16"/>
          <w:szCs w:val="16"/>
          <w:u w:val="single"/>
        </w:rPr>
      </w:pPr>
      <w:r>
        <w:rPr>
          <w:u w:val="single"/>
        </w:rPr>
        <w:t xml:space="preserve">oceny oddziaływania przedsięwzięcia na środowisko </w:t>
      </w:r>
    </w:p>
    <w:p w:rsidR="00BA0371" w:rsidRDefault="00BA0371">
      <w:pPr>
        <w:jc w:val="center"/>
      </w:pPr>
    </w:p>
    <w:p w:rsidR="00BA0371" w:rsidRDefault="0020085B">
      <w:r>
        <w:t xml:space="preserve">          Na podstawie art. 63 ust. 1 ustawy z dnia 3 października 2008 r.  o udostępnieniu informacji                  o środowisku i jego ochronie, udziale społeczeństwa w ochronie środowiska oraz o oce</w:t>
      </w:r>
      <w:r>
        <w:t>nach oddziaływania na środowisko (Dz.U. z 2016 r. poz. 353 ze zm.) oraz art. 123 ustawy z dnia                  14 czerwca  1960 r. Kodeks postępowania administracyjnego (Dz.U. z 2016 r. poz. 23 ze zm.), a także § 2 ust. 2 pkt 2  w związku z § 2 ust. 1 pkt</w:t>
      </w:r>
      <w:r>
        <w:t xml:space="preserve"> 51  oraz  § 3 ust.1 pkt 37 rozporządzenia Rady Ministrów z dnia 9 listopada 2010 r. w sprawie przedsięwzięć mogących znacząco oddziaływać na środowisko (Dz.U. z 2016 r. poz. 71 j.t.);</w:t>
      </w:r>
    </w:p>
    <w:p w:rsidR="00BA0371" w:rsidRDefault="0020085B">
      <w:pPr>
        <w:jc w:val="center"/>
      </w:pPr>
      <w:r>
        <w:t xml:space="preserve">Postanawiam </w:t>
      </w:r>
    </w:p>
    <w:p w:rsidR="00BA0371" w:rsidRDefault="0020085B">
      <w:pPr>
        <w:rPr>
          <w:sz w:val="16"/>
          <w:szCs w:val="16"/>
        </w:rPr>
      </w:pPr>
      <w:r>
        <w:t xml:space="preserve"> stwierdzić obowiązek przeprowadzenia oceny oddziaływania </w:t>
      </w:r>
      <w:r>
        <w:t>przedsięwzięcia na środowisko,</w:t>
      </w:r>
    </w:p>
    <w:p w:rsidR="00BA0371" w:rsidRDefault="0020085B">
      <w:pPr>
        <w:rPr>
          <w:sz w:val="16"/>
          <w:szCs w:val="16"/>
        </w:rPr>
      </w:pPr>
      <w:r>
        <w:t xml:space="preserve"> </w:t>
      </w:r>
      <w:bookmarkStart w:id="1" w:name="__DdeLink__398_1508558905"/>
      <w:bookmarkEnd w:id="1"/>
      <w:r>
        <w:t xml:space="preserve">polegajacego na „Rozbudowie hodowli drobiu o dwa kurniki, wraz  z niezbędną infrastrukturą „ </w:t>
      </w:r>
    </w:p>
    <w:p w:rsidR="00BA0371" w:rsidRDefault="0020085B">
      <w:pPr>
        <w:rPr>
          <w:sz w:val="16"/>
          <w:szCs w:val="16"/>
        </w:rPr>
      </w:pPr>
      <w:r>
        <w:t xml:space="preserve"> w miejscowości Sułkówek Gmina Boniewo na działce numer geodezyjny 134/1  w ramach    </w:t>
      </w:r>
    </w:p>
    <w:p w:rsidR="00BA0371" w:rsidRDefault="0020085B">
      <w:pPr>
        <w:rPr>
          <w:sz w:val="16"/>
          <w:szCs w:val="16"/>
        </w:rPr>
      </w:pPr>
      <w:r>
        <w:t xml:space="preserve"> wszczętego postępowania o wydanie decyzji </w:t>
      </w:r>
      <w:r>
        <w:t xml:space="preserve">o środowiskowych uwarunkowaniach z wniosku    </w:t>
      </w:r>
    </w:p>
    <w:p w:rsidR="00BA0371" w:rsidRDefault="0020085B">
      <w:pPr>
        <w:rPr>
          <w:sz w:val="16"/>
          <w:szCs w:val="16"/>
        </w:rPr>
      </w:pPr>
      <w:r>
        <w:t xml:space="preserve"> Pana Waldemara Kowalskiego  zamieszkałego Sułkówek 5  z dnia 22.08.2016 r. </w:t>
      </w:r>
    </w:p>
    <w:p w:rsidR="00BA0371" w:rsidRDefault="00BA0371">
      <w:pPr>
        <w:jc w:val="center"/>
      </w:pPr>
    </w:p>
    <w:p w:rsidR="00BA0371" w:rsidRDefault="0020085B">
      <w:pPr>
        <w:jc w:val="center"/>
      </w:pPr>
      <w:r>
        <w:t xml:space="preserve">Uzasadnienie :  </w:t>
      </w:r>
    </w:p>
    <w:p w:rsidR="00BA0371" w:rsidRDefault="0020085B">
      <w:r>
        <w:t xml:space="preserve">       Dnia 22 sierpnia 2016 roku zostało wszczęte  postępowania  o wydanie decyzji                               </w:t>
      </w:r>
      <w:r>
        <w:t xml:space="preserve">        o środowiskowych uwarunkowaniach z wniosku  Pana Waldemara Kowalskiego  zamieszkałego Sułkówek 5 </w:t>
      </w:r>
      <w:r>
        <w:t xml:space="preserve"> dla inwestycji  pn. „Rozbudowę hodowli drobiu o dwa kurniki, wraz  z niezbędną infrastrukturą „.</w:t>
      </w:r>
    </w:p>
    <w:p w:rsidR="00BA0371" w:rsidRDefault="0020085B">
      <w:r>
        <w:t xml:space="preserve">       Zawiadomienie o wszczęciu postepowania</w:t>
      </w:r>
      <w:r>
        <w:t xml:space="preserve"> podano </w:t>
      </w:r>
      <w:r>
        <w:t xml:space="preserve">do publicznej wiadomości na tablicy ogłoszeń w Urzędzie Gminy Boniewo, a także na stronie internetowej  </w:t>
      </w:r>
      <w:hyperlink r:id="rId6">
        <w:r>
          <w:rPr>
            <w:rStyle w:val="czeinternetowe"/>
          </w:rPr>
          <w:t>www.bip.boniewo.pl</w:t>
        </w:r>
      </w:hyperlink>
      <w:r>
        <w:t xml:space="preserve"> </w:t>
      </w:r>
    </w:p>
    <w:p w:rsidR="00BA0371" w:rsidRDefault="0020085B">
      <w:r>
        <w:t xml:space="preserve">        Dnia 30 sierpnia 2016 r został   skierowany  wniosek  znak TIiRG 6220-4/2016, </w:t>
      </w:r>
      <w:r>
        <w:t xml:space="preserve">uzupełniony w dniu 12 września 2016 roku  do Regionalnego Dyrektora  Ochrony Środowiska w Bydgoszczy oraz Państwowego Powiatowego Inspektora Sanitarnego we Włocławku z prośbą o uzgodnienie warunków realizacji dla inwestycji pn. „Rozbudowa hodowli drobiu o </w:t>
      </w:r>
      <w:r>
        <w:t>dwa kurniki , wraz  z niezbędną infrastrukturą „ na działce numer geodezyjny 134/1 w miejscowości Sułkówek gm. Boniewo.</w:t>
      </w:r>
    </w:p>
    <w:p w:rsidR="00BA0371" w:rsidRDefault="0020085B">
      <w:r>
        <w:t xml:space="preserve">       Raport oddziaływania na środowisko sporządzony został przez firmę ATMOSFERA, w sierpniu 2016 r. Regionalny Dyrektor Ochrony Środo</w:t>
      </w:r>
      <w:r>
        <w:t xml:space="preserve">wiska w Bydgoszczy wzywał firmę do uzupełnienia. Uzupełnienia dokonano  dnia 21 listopada 2016 r, 13 lutego 2017 r. oraz 13 kwietnia 2017 r. </w:t>
      </w:r>
    </w:p>
    <w:p w:rsidR="00BA0371" w:rsidRDefault="0020085B">
      <w:r>
        <w:t xml:space="preserve">        Uzyskano opinię  Państwowego  Powiatowego  Inspektora Sanitarnego we Włocławku </w:t>
      </w:r>
      <w:bookmarkStart w:id="2" w:name="__DdeLink__417_1307035673"/>
      <w:r>
        <w:t>z dnia</w:t>
      </w:r>
      <w:bookmarkEnd w:id="2"/>
      <w:r>
        <w:t xml:space="preserve"> 10.11.2016 r. /wpł.1</w:t>
      </w:r>
      <w:r>
        <w:t xml:space="preserve">4.11.2016 r./ znak N.N-42-28-08/16  l.dz. 7141 oraz postanowienie Regionalnego Dyrektora Ochrony Środowiska w Bydgoszczy z dnia 12 maja 2017 r. znak WOO.4242.167.2017.MD1.5. </w:t>
      </w:r>
    </w:p>
    <w:p w:rsidR="00BA0371" w:rsidRDefault="0020085B">
      <w:r>
        <w:t xml:space="preserve">         Planowane   przedsięwzięcia oceniono na podstawie  przedłożonego raportu</w:t>
      </w:r>
      <w:r>
        <w:t xml:space="preserve"> oddziaływania na środowisko.</w:t>
      </w:r>
    </w:p>
    <w:p w:rsidR="00BA0371" w:rsidRDefault="0020085B">
      <w:r>
        <w:t xml:space="preserve">         </w:t>
      </w:r>
      <w:r>
        <w:rPr>
          <w:rFonts w:ascii="Times New Roman" w:hAnsi="Times New Roman" w:cs="Times New Roman"/>
        </w:rPr>
        <w:t>Inwestycja kwalifikuje się do przedsięwzięć mogących zawsze znacząco oddziaływać na środowisko, zgodnie z § 2 ust. 2 pkt 2, w związku z § 2 ust. 1 pkt 51 oraz § 3 ust. 1 pkt 37  ww. rozporządzenia Rady Ministrów z dni</w:t>
      </w:r>
      <w:r>
        <w:rPr>
          <w:rFonts w:ascii="Times New Roman" w:hAnsi="Times New Roman" w:cs="Times New Roman"/>
        </w:rPr>
        <w:t>a 9 listopada 2010 r. w sprawie przedsięwzięć mogących znacząco oddziaływać na środowisko cyt.: „Do przedsięwzięć mogących zawszeznacząco oddziaływać na środowisko zalicza się również przedsięwzięcia polegające na rozbudowie, przebudowie lub montażu przeds</w:t>
      </w:r>
      <w:r>
        <w:rPr>
          <w:rFonts w:ascii="Times New Roman" w:hAnsi="Times New Roman" w:cs="Times New Roman"/>
        </w:rPr>
        <w:t>ięwzięć realizowanych lub zrealizowanych wymienionych w § 3 ust. 1, jeżeli ta rozbudowa, przebudowa lub montaż spowoduje osiągnięcie progów określonych w ust. 1, o ile progi te zostały określone”, w związku z „chów lub hodowla zwierząt w liczbie nie mniejs</w:t>
      </w:r>
      <w:r>
        <w:rPr>
          <w:rFonts w:ascii="Times New Roman" w:hAnsi="Times New Roman" w:cs="Times New Roman"/>
        </w:rPr>
        <w:t xml:space="preserve">zej niż 210 dużych jednostek przeliczeniowych inwentarza (DJP - przy czym za liczbę DJP przyjmuje się maksymalną możliwą obsadę inwentarza); współczynniki przeliczeniowe sztuk </w:t>
      </w:r>
      <w:r>
        <w:rPr>
          <w:rFonts w:ascii="Times New Roman" w:hAnsi="Times New Roman" w:cs="Times New Roman"/>
        </w:rPr>
        <w:lastRenderedPageBreak/>
        <w:t>zwierząt na DJP są określone w załączniku do rozporządzenia” oraz „instalacje do</w:t>
      </w:r>
      <w:r>
        <w:rPr>
          <w:rFonts w:ascii="Times New Roman" w:hAnsi="Times New Roman" w:cs="Times New Roman"/>
        </w:rPr>
        <w:t xml:space="preserve"> naziemnegomagazynowania ropy naftowej, produktów naftowych, substancji lub mieszanin, w</w:t>
      </w:r>
    </w:p>
    <w:p w:rsidR="00BA0371" w:rsidRDefault="00BA0371">
      <w:pPr>
        <w:rPr>
          <w:rFonts w:ascii="Times New Roman" w:hAnsi="Times New Roman" w:cs="Times New Roman"/>
        </w:rPr>
      </w:pPr>
    </w:p>
    <w:p w:rsidR="00BA0371" w:rsidRDefault="0020085B">
      <w:r>
        <w:rPr>
          <w:rFonts w:ascii="Times New Roman" w:hAnsi="Times New Roman" w:cs="Times New Roman"/>
        </w:rPr>
        <w:t xml:space="preserve"> rozumieniu przepisów </w:t>
      </w:r>
      <w:r>
        <w:rPr>
          <w:rFonts w:ascii="Times New Roman" w:hAnsi="Times New Roman" w:cs="Times New Roman"/>
          <w:color w:val="1B1B1B"/>
        </w:rPr>
        <w:t>ustawy</w:t>
      </w:r>
      <w:r>
        <w:rPr>
          <w:rFonts w:ascii="Times New Roman" w:hAnsi="Times New Roman" w:cs="Times New Roman"/>
        </w:rPr>
        <w:t xml:space="preserve"> z dnia 25 lutego 2011 r. o substancjach chemicznych i ich mieszaninach, niebędących produktami spożywczymi, gazów łatwopalnych oraz innyc</w:t>
      </w:r>
      <w:r>
        <w:rPr>
          <w:rFonts w:ascii="Times New Roman" w:hAnsi="Times New Roman" w:cs="Times New Roman"/>
        </w:rPr>
        <w:t>h kopalnych surowców energetycznych, inne niż wymienione w § 2 ust. 1 pkt 22, z wyłączeniem instalacji do magazynowania paliw wykorzystywanych na potrzeby gospodarstw domowych, zbiorników na gaz płynny o łącznej pojemności nie większej niż 10 m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 xml:space="preserve"> oraz zbior</w:t>
      </w:r>
      <w:r>
        <w:rPr>
          <w:rFonts w:ascii="Times New Roman" w:hAnsi="Times New Roman" w:cs="Times New Roman"/>
        </w:rPr>
        <w:t>ników na olej o łącznej pojemności nie większej niż 3 m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 xml:space="preserve">, a także niezwiązanych z dystrybucją instalacji do magazynowania stałych surowców energetycznych”. </w:t>
      </w:r>
    </w:p>
    <w:p w:rsidR="00BA0371" w:rsidRDefault="0020085B">
      <w:pPr>
        <w:ind w:firstLine="709"/>
        <w:jc w:val="both"/>
      </w:pPr>
      <w:r>
        <w:t>Planowane przedsięwzięcie polega na rozbudowie istniejącego gospodarstwa rolnego, na terenie działk</w:t>
      </w:r>
      <w:r>
        <w:t xml:space="preserve">i nr ew. </w:t>
      </w:r>
      <w:r>
        <w:rPr>
          <w:iCs/>
        </w:rPr>
        <w:t>134/1</w:t>
      </w:r>
      <w:r>
        <w:t xml:space="preserve"> w miejscowości Sułkówek, poprzez posadowienie dwóch obiektów inwentarskich kurników – przeznaczonych do chowu 39 000 szt. drobiu (156 DJP) w każdym obiekcie. W związku z powyższym, łącznie w dwóch planowanych budynkach Inwestor planuje utrzymywać 78 000 s</w:t>
      </w:r>
      <w:r>
        <w:t>zt. drobiu, tj. 312 DJP.</w:t>
      </w:r>
    </w:p>
    <w:p w:rsidR="00BA0371" w:rsidRDefault="0020085B">
      <w:pPr>
        <w:pStyle w:val="Standard"/>
        <w:ind w:firstLine="708"/>
        <w:jc w:val="both"/>
      </w:pPr>
      <w:r>
        <w:t>Maksymalne zagęszczenie obsady na terenie przedmiotowej fermy będzie wynosiło</w:t>
      </w:r>
      <w:r>
        <w:br/>
        <w:t>d</w:t>
      </w:r>
      <w:r>
        <w:t>o 42 kg/m</w:t>
      </w:r>
      <w:r>
        <w:rPr>
          <w:vertAlign w:val="superscript"/>
        </w:rPr>
        <w:t>2</w:t>
      </w:r>
      <w:r>
        <w:t>, zatem zgodnie z rozporządzeniem Ministra Rolnictwa i Rozwoju Wsi z dnia</w:t>
      </w:r>
      <w:r>
        <w:br/>
        <w:t>15 lutego 2010 r. w sprawie wymagań i sposobu postępowania przy utrz</w:t>
      </w:r>
      <w:r>
        <w:t>ymywaniu gatunków zwierząt gospodarskich, dla których normy ochrony zostały określone w przepisach</w:t>
      </w:r>
      <w:r>
        <w:br/>
      </w:r>
      <w:r>
        <w:rPr>
          <w:rFonts w:cs="Times New Roman"/>
        </w:rPr>
        <w:t xml:space="preserve">Unii Europejskiej </w:t>
      </w:r>
      <w:r>
        <w:rPr>
          <w:rFonts w:cs="Times New Roman"/>
          <w:color w:val="000000"/>
        </w:rPr>
        <w:t>(Dz. U. z 2010 r., poz. 344 ze zm.).</w:t>
      </w:r>
    </w:p>
    <w:p w:rsidR="00BA0371" w:rsidRDefault="0020085B">
      <w:pPr>
        <w:ind w:firstLine="709"/>
        <w:jc w:val="both"/>
      </w:pPr>
      <w:r>
        <w:t>Zakres przedmiotowy omawianego zamierzenia obejmuje ponadto posadowienie:</w:t>
      </w:r>
    </w:p>
    <w:p w:rsidR="00BA0371" w:rsidRDefault="0020085B">
      <w:pPr>
        <w:numPr>
          <w:ilvl w:val="0"/>
          <w:numId w:val="1"/>
        </w:numPr>
        <w:jc w:val="both"/>
        <w:rPr>
          <w:spacing w:val="2"/>
        </w:rPr>
      </w:pPr>
      <w:r>
        <w:rPr>
          <w:spacing w:val="2"/>
        </w:rPr>
        <w:t xml:space="preserve">trzech zbiorników na gaz </w:t>
      </w:r>
      <w:r>
        <w:rPr>
          <w:spacing w:val="2"/>
        </w:rPr>
        <w:t>ciekły propan o pojemności 4 800 litrów każdy, umiejscowione na betonowej, szczelnej płycie;</w:t>
      </w:r>
    </w:p>
    <w:p w:rsidR="00BA0371" w:rsidRDefault="0020085B">
      <w:pPr>
        <w:numPr>
          <w:ilvl w:val="0"/>
          <w:numId w:val="1"/>
        </w:numPr>
        <w:jc w:val="both"/>
        <w:rPr>
          <w:spacing w:val="2"/>
        </w:rPr>
      </w:pPr>
      <w:r>
        <w:rPr>
          <w:spacing w:val="2"/>
        </w:rPr>
        <w:t>czterech silosów paszowych o pojemności 16 t każdy, wykonane z blachy w kształcie walczaków;</w:t>
      </w:r>
    </w:p>
    <w:p w:rsidR="00BA0371" w:rsidRDefault="0020085B">
      <w:r>
        <w:rPr>
          <w:rFonts w:ascii="Times New Roman" w:hAnsi="Times New Roman" w:cs="Times New Roman"/>
          <w:spacing w:val="2"/>
        </w:rPr>
        <w:t>-    czterech zbiorników wybieralnych o pojemności ok. 5,5 m</w:t>
      </w:r>
      <w:r>
        <w:rPr>
          <w:rFonts w:ascii="Times New Roman" w:hAnsi="Times New Roman" w:cs="Times New Roman"/>
          <w:spacing w:val="2"/>
          <w:vertAlign w:val="superscript"/>
        </w:rPr>
        <w:t>3</w:t>
      </w:r>
      <w:r>
        <w:rPr>
          <w:rFonts w:ascii="Times New Roman" w:hAnsi="Times New Roman" w:cs="Times New Roman"/>
          <w:spacing w:val="2"/>
        </w:rPr>
        <w:t xml:space="preserve"> każdy, j</w:t>
      </w:r>
      <w:r>
        <w:rPr>
          <w:rFonts w:ascii="Times New Roman" w:hAnsi="Times New Roman" w:cs="Times New Roman"/>
          <w:spacing w:val="2"/>
        </w:rPr>
        <w:t>ednokomorowe,</w:t>
      </w:r>
    </w:p>
    <w:p w:rsidR="00BA0371" w:rsidRDefault="0020085B">
      <w:r>
        <w:rPr>
          <w:rFonts w:ascii="Times New Roman" w:hAnsi="Times New Roman" w:cs="Times New Roman"/>
          <w:spacing w:val="2"/>
        </w:rPr>
        <w:t xml:space="preserve">      usytuowane na początku i końcu każdego budynku od strony wrót dla ścieków porządkowych </w:t>
      </w:r>
    </w:p>
    <w:p w:rsidR="00BA0371" w:rsidRDefault="0020085B">
      <w:r>
        <w:rPr>
          <w:rFonts w:ascii="Times New Roman" w:hAnsi="Times New Roman" w:cs="Times New Roman"/>
          <w:spacing w:val="2"/>
        </w:rPr>
        <w:t xml:space="preserve">      powstających z mycia kurnika;</w:t>
      </w:r>
    </w:p>
    <w:p w:rsidR="00BA0371" w:rsidRDefault="0020085B">
      <w:pPr>
        <w:numPr>
          <w:ilvl w:val="0"/>
          <w:numId w:val="1"/>
        </w:numPr>
        <w:jc w:val="both"/>
      </w:pPr>
      <w:r>
        <w:rPr>
          <w:spacing w:val="2"/>
        </w:rPr>
        <w:t>płyty obornikowej o powierzchni ok. 340 m</w:t>
      </w:r>
      <w:r>
        <w:rPr>
          <w:spacing w:val="2"/>
          <w:vertAlign w:val="superscript"/>
        </w:rPr>
        <w:t>2</w:t>
      </w:r>
      <w:r>
        <w:rPr>
          <w:spacing w:val="2"/>
        </w:rPr>
        <w:t xml:space="preserve"> ze zbiornikiem na odcieki o pojemności ok. 10 m</w:t>
      </w:r>
      <w:r>
        <w:rPr>
          <w:spacing w:val="2"/>
          <w:vertAlign w:val="superscript"/>
        </w:rPr>
        <w:t>3</w:t>
      </w:r>
      <w:r>
        <w:rPr>
          <w:spacing w:val="2"/>
        </w:rPr>
        <w:t>.</w:t>
      </w:r>
    </w:p>
    <w:p w:rsidR="00BA0371" w:rsidRDefault="0020085B">
      <w:pPr>
        <w:ind w:firstLine="708"/>
        <w:jc w:val="both"/>
      </w:pPr>
      <w:r>
        <w:t>Każdy z planowanych</w:t>
      </w:r>
      <w:r>
        <w:t xml:space="preserve"> budynków o powierzchni  produkcyjnej </w:t>
      </w:r>
      <w:r>
        <w:rPr>
          <w:iCs/>
        </w:rPr>
        <w:t>1 800 m</w:t>
      </w:r>
      <w:r>
        <w:rPr>
          <w:iCs/>
          <w:vertAlign w:val="superscript"/>
        </w:rPr>
        <w:t>2</w:t>
      </w:r>
      <w:r>
        <w:t>, wyposażony zostanie w:</w:t>
      </w:r>
    </w:p>
    <w:p w:rsidR="00BA0371" w:rsidRDefault="0020085B">
      <w:pPr>
        <w:numPr>
          <w:ilvl w:val="0"/>
          <w:numId w:val="2"/>
        </w:numPr>
        <w:tabs>
          <w:tab w:val="left" w:pos="284"/>
        </w:tabs>
        <w:jc w:val="both"/>
      </w:pPr>
      <w:r>
        <w:t>sztuczne oświetlenie,</w:t>
      </w:r>
    </w:p>
    <w:p w:rsidR="00BA0371" w:rsidRDefault="0020085B">
      <w:pPr>
        <w:numPr>
          <w:ilvl w:val="0"/>
          <w:numId w:val="2"/>
        </w:numPr>
        <w:tabs>
          <w:tab w:val="left" w:pos="284"/>
        </w:tabs>
        <w:jc w:val="both"/>
        <w:rPr>
          <w:lang w:eastAsia="pl-PL"/>
        </w:rPr>
      </w:pPr>
      <w:r>
        <w:rPr>
          <w:lang w:eastAsia="pl-PL"/>
        </w:rPr>
        <w:t>system karmienia i pojenia,</w:t>
      </w:r>
    </w:p>
    <w:p w:rsidR="00BA0371" w:rsidRDefault="0020085B">
      <w:pPr>
        <w:numPr>
          <w:ilvl w:val="0"/>
          <w:numId w:val="2"/>
        </w:numPr>
        <w:tabs>
          <w:tab w:val="left" w:pos="284"/>
        </w:tabs>
        <w:jc w:val="both"/>
        <w:rPr>
          <w:lang w:eastAsia="pl-PL"/>
        </w:rPr>
      </w:pPr>
      <w:r>
        <w:rPr>
          <w:lang w:eastAsia="pl-PL"/>
        </w:rPr>
        <w:t>wentylacje mechaniczną,</w:t>
      </w:r>
    </w:p>
    <w:p w:rsidR="00BA0371" w:rsidRDefault="0020085B">
      <w:pPr>
        <w:numPr>
          <w:ilvl w:val="0"/>
          <w:numId w:val="2"/>
        </w:numPr>
        <w:tabs>
          <w:tab w:val="left" w:pos="284"/>
        </w:tabs>
        <w:jc w:val="both"/>
      </w:pPr>
      <w:r>
        <w:t>system ogrzewania.</w:t>
      </w:r>
    </w:p>
    <w:p w:rsidR="00BA0371" w:rsidRDefault="0020085B">
      <w:pPr>
        <w:pStyle w:val="Standard"/>
        <w:ind w:firstLine="709"/>
        <w:jc w:val="both"/>
      </w:pPr>
      <w:r>
        <w:t>Zgodnie z informacjami umieszczonymi w przedłożonej dokumentacji obecnie</w:t>
      </w:r>
      <w:r>
        <w:br/>
        <w:t>na terenie analizow</w:t>
      </w:r>
      <w:r>
        <w:t>anej nieruchomości znajduje się:</w:t>
      </w:r>
    </w:p>
    <w:p w:rsidR="00BA0371" w:rsidRDefault="0020085B">
      <w:pPr>
        <w:pStyle w:val="Standard"/>
        <w:numPr>
          <w:ilvl w:val="0"/>
          <w:numId w:val="3"/>
        </w:numPr>
        <w:ind w:left="723"/>
        <w:jc w:val="both"/>
        <w:rPr>
          <w:spacing w:val="2"/>
        </w:rPr>
      </w:pPr>
      <w:r>
        <w:rPr>
          <w:spacing w:val="2"/>
        </w:rPr>
        <w:t>dom mieszkalny;</w:t>
      </w:r>
    </w:p>
    <w:p w:rsidR="00BA0371" w:rsidRDefault="0020085B">
      <w:pPr>
        <w:pStyle w:val="Standard"/>
        <w:numPr>
          <w:ilvl w:val="0"/>
          <w:numId w:val="3"/>
        </w:numPr>
        <w:ind w:left="723"/>
        <w:jc w:val="both"/>
        <w:rPr>
          <w:spacing w:val="2"/>
        </w:rPr>
      </w:pPr>
      <w:r>
        <w:rPr>
          <w:spacing w:val="2"/>
        </w:rPr>
        <w:t>dwa garaże sprzętu rolniczego oraz cztery garaże pełniące funkcje magazynów;</w:t>
      </w:r>
    </w:p>
    <w:p w:rsidR="00BA0371" w:rsidRDefault="0020085B">
      <w:pPr>
        <w:pStyle w:val="Standard"/>
        <w:numPr>
          <w:ilvl w:val="0"/>
          <w:numId w:val="3"/>
        </w:numPr>
        <w:ind w:left="723"/>
        <w:jc w:val="both"/>
        <w:rPr>
          <w:spacing w:val="2"/>
        </w:rPr>
      </w:pPr>
      <w:r>
        <w:rPr>
          <w:spacing w:val="2"/>
        </w:rPr>
        <w:t>kurnik dla produkcji drobiu w którym utrzymywanych jest 30 600 szt., tj. 122,4 DJP;</w:t>
      </w:r>
    </w:p>
    <w:p w:rsidR="00BA0371" w:rsidRDefault="0020085B">
      <w:pPr>
        <w:pStyle w:val="Standard"/>
        <w:numPr>
          <w:ilvl w:val="0"/>
          <w:numId w:val="3"/>
        </w:numPr>
        <w:ind w:left="723"/>
        <w:jc w:val="both"/>
        <w:rPr>
          <w:spacing w:val="2"/>
        </w:rPr>
      </w:pPr>
      <w:r>
        <w:rPr>
          <w:spacing w:val="2"/>
        </w:rPr>
        <w:t>kurnik dla produkcji drobiu innego właściciela</w:t>
      </w:r>
      <w:r>
        <w:rPr>
          <w:spacing w:val="2"/>
        </w:rPr>
        <w:t>, w którym utrzymywanych jest 30 600 szt., tj. 122,4 DJP;</w:t>
      </w:r>
    </w:p>
    <w:p w:rsidR="00BA0371" w:rsidRDefault="0020085B">
      <w:pPr>
        <w:pStyle w:val="Standard"/>
        <w:numPr>
          <w:ilvl w:val="0"/>
          <w:numId w:val="3"/>
        </w:numPr>
        <w:ind w:left="723"/>
        <w:jc w:val="both"/>
        <w:rPr>
          <w:spacing w:val="2"/>
        </w:rPr>
      </w:pPr>
      <w:r>
        <w:rPr>
          <w:spacing w:val="2"/>
        </w:rPr>
        <w:t>trzy zbiorniki na gaz ciekły propan o pojemności 4800 litrów każdy, posadowione</w:t>
      </w:r>
      <w:r>
        <w:rPr>
          <w:spacing w:val="2"/>
        </w:rPr>
        <w:br/>
        <w:t>na betonowej szczelnej płycie;</w:t>
      </w:r>
    </w:p>
    <w:p w:rsidR="00BA0371" w:rsidRDefault="0020085B">
      <w:pPr>
        <w:pStyle w:val="Standard"/>
        <w:numPr>
          <w:ilvl w:val="0"/>
          <w:numId w:val="3"/>
        </w:numPr>
        <w:ind w:left="723"/>
        <w:jc w:val="both"/>
      </w:pPr>
      <w:r>
        <w:rPr>
          <w:spacing w:val="2"/>
        </w:rPr>
        <w:t>cztery silosy paszowe o pojemności 16 Mg każdy, wykonane z blachy w kształcie walczaków</w:t>
      </w:r>
      <w:r>
        <w:t>;</w:t>
      </w:r>
    </w:p>
    <w:p w:rsidR="00BA0371" w:rsidRDefault="0020085B">
      <w:pPr>
        <w:pStyle w:val="Standard"/>
        <w:numPr>
          <w:ilvl w:val="0"/>
          <w:numId w:val="3"/>
        </w:numPr>
        <w:ind w:left="723"/>
        <w:jc w:val="both"/>
        <w:rPr>
          <w:spacing w:val="2"/>
        </w:rPr>
      </w:pPr>
      <w:r>
        <w:rPr>
          <w:spacing w:val="2"/>
        </w:rPr>
        <w:t>budynek gospodarczy;</w:t>
      </w:r>
    </w:p>
    <w:p w:rsidR="00BA0371" w:rsidRDefault="0020085B">
      <w:pPr>
        <w:pStyle w:val="Standard"/>
        <w:numPr>
          <w:ilvl w:val="0"/>
          <w:numId w:val="3"/>
        </w:numPr>
        <w:ind w:left="723"/>
        <w:jc w:val="both"/>
        <w:rPr>
          <w:spacing w:val="2"/>
        </w:rPr>
      </w:pPr>
      <w:r>
        <w:rPr>
          <w:spacing w:val="2"/>
        </w:rPr>
        <w:t>stodoła;</w:t>
      </w:r>
    </w:p>
    <w:p w:rsidR="00BA0371" w:rsidRDefault="0020085B">
      <w:pPr>
        <w:pStyle w:val="Standard"/>
        <w:numPr>
          <w:ilvl w:val="0"/>
          <w:numId w:val="3"/>
        </w:numPr>
        <w:ind w:left="723"/>
        <w:jc w:val="both"/>
      </w:pPr>
      <w:r>
        <w:rPr>
          <w:spacing w:val="2"/>
        </w:rPr>
        <w:t>nieprzepuszczalna płyta obornikowa o powierzchni 130 m</w:t>
      </w:r>
      <w:r>
        <w:rPr>
          <w:spacing w:val="2"/>
          <w:vertAlign w:val="superscript"/>
        </w:rPr>
        <w:t>2</w:t>
      </w:r>
      <w:r>
        <w:rPr>
          <w:spacing w:val="2"/>
        </w:rPr>
        <w:t>, z instalacją odprowadzającą wyciek i szczelnym zbiornikiem na odcieki o pojemności całkowitej 50 m</w:t>
      </w:r>
      <w:r>
        <w:rPr>
          <w:spacing w:val="2"/>
          <w:vertAlign w:val="superscript"/>
        </w:rPr>
        <w:t>3</w:t>
      </w:r>
      <w:r>
        <w:rPr>
          <w:spacing w:val="2"/>
        </w:rPr>
        <w:t>;</w:t>
      </w:r>
    </w:p>
    <w:p w:rsidR="00BA0371" w:rsidRDefault="0020085B">
      <w:pPr>
        <w:pStyle w:val="Standard"/>
        <w:numPr>
          <w:ilvl w:val="0"/>
          <w:numId w:val="3"/>
        </w:numPr>
        <w:ind w:left="723"/>
        <w:jc w:val="both"/>
        <w:rPr>
          <w:spacing w:val="2"/>
        </w:rPr>
      </w:pPr>
      <w:r>
        <w:rPr>
          <w:spacing w:val="2"/>
        </w:rPr>
        <w:lastRenderedPageBreak/>
        <w:t>przydomowa oczyszczalnia ścieków.</w:t>
      </w:r>
    </w:p>
    <w:p w:rsidR="00BA0371" w:rsidRDefault="0020085B">
      <w:pPr>
        <w:pStyle w:val="Standard"/>
        <w:ind w:firstLine="708"/>
        <w:jc w:val="both"/>
      </w:pPr>
      <w:r>
        <w:t xml:space="preserve">W związku z powyższym, </w:t>
      </w:r>
      <w:r>
        <w:t>uwzględniając istniejące obiekty inwentarskie należące</w:t>
      </w:r>
      <w:r>
        <w:br/>
        <w:t>do Inwestora oraz do innego podmiotu, łącznie na terenie gospodarstwa po realizacji zamierzenia utrzymywanych będzie 139 200 szt. drobiu, tj. 556,8 DJP.</w:t>
      </w:r>
    </w:p>
    <w:p w:rsidR="00BA0371" w:rsidRDefault="0020085B">
      <w:pPr>
        <w:pStyle w:val="Standard"/>
        <w:ind w:firstLine="708"/>
        <w:jc w:val="both"/>
      </w:pPr>
      <w:r>
        <w:t>Cykl produkcyjny obejmuje wsad piskląt jednodnio</w:t>
      </w:r>
      <w:r>
        <w:t>wych od dostawcy zewnętrznego. Zakupione pisklęta są umieszczane na powierzchni hodowlanej i następuje proces intensywnego ich chowu do 7 tygodnia życia. Proces technologiczny chowu kurcząt brojlerów zakłada 5 powtarzających się cykli produkcyjnych w ciągu</w:t>
      </w:r>
      <w:r>
        <w:t xml:space="preserve"> roku, oddzielonych</w:t>
      </w:r>
      <w:r>
        <w:br/>
        <w:t>od siebie około dwutygodniowym postojem technologicznym tzw. „wypoczynek kurnika”</w:t>
      </w:r>
      <w:r>
        <w:br/>
        <w:t>lub „pustka sanitarna”. W okresie postoju technologicznego odbywa się właściwe przygotowanie kurnika do kolejnego cyklu produkcyjnego. Po każdym cyklu pro</w:t>
      </w:r>
      <w:r>
        <w:t>dukcyjnym</w:t>
      </w:r>
      <w:r>
        <w:br/>
        <w:t>z kurnika usuwany jest obornik (mieszanina pomiotu kurzego ze ściółką). Po usunięciu obornika (pomiotu kurzego)  odbywa się czyszczenie pomieszczeń kurników metodą na sucho z pozostałości obornika i odchodów drobiu, a następnie mycie z zastosowan</w:t>
      </w:r>
      <w:r>
        <w:t xml:space="preserve">iem myjki wysokociśnieniowej na gorąco wodą i dezynfekcja za pomocą wodnych roztworów substancji odkażających w postaci zamgławiania wnętrza kurników. </w:t>
      </w:r>
    </w:p>
    <w:p w:rsidR="00BA0371" w:rsidRDefault="0020085B">
      <w:pPr>
        <w:pStyle w:val="Standard"/>
        <w:ind w:firstLine="709"/>
        <w:jc w:val="both"/>
      </w:pPr>
      <w:r>
        <w:t>Po okresie niezbędnego postoju technologicznego kurniki są ponownie zasiedlane</w:t>
      </w:r>
      <w:r>
        <w:br/>
        <w:t>i cykl produkcyjny się po</w:t>
      </w:r>
      <w:r>
        <w:t>wtarza.</w:t>
      </w:r>
    </w:p>
    <w:p w:rsidR="00BA0371" w:rsidRDefault="0020085B">
      <w:pPr>
        <w:pStyle w:val="Standard"/>
        <w:ind w:firstLine="708"/>
        <w:jc w:val="both"/>
        <w:rPr>
          <w:color w:val="000000"/>
        </w:rPr>
      </w:pPr>
      <w:r>
        <w:rPr>
          <w:color w:val="000000"/>
        </w:rPr>
        <w:t>Teren zamierzenia budowlanego nie jest objęty obowiązującym miejscowym planem zagospodarowania przestrzennego.</w:t>
      </w:r>
    </w:p>
    <w:p w:rsidR="00BA0371" w:rsidRDefault="0020085B">
      <w:pPr>
        <w:pStyle w:val="Standard"/>
        <w:ind w:firstLine="708"/>
        <w:jc w:val="both"/>
      </w:pPr>
      <w:r>
        <w:t xml:space="preserve">W najbliższym otoczeniu znajdują się użytki rolne. Najbliższa zabudowa mieszkaniowa zlokalizowana jest w odległości ok. </w:t>
      </w:r>
      <w:r>
        <w:rPr>
          <w:bCs/>
        </w:rPr>
        <w:t>ok. 150 m w kieru</w:t>
      </w:r>
      <w:r>
        <w:rPr>
          <w:bCs/>
        </w:rPr>
        <w:t>nku północno-wschodnim i 190 m w kierunku południowo-wschodnim od miejsca, gdzie zaplanowano lokalizację kurników</w:t>
      </w:r>
      <w:r>
        <w:t>.</w:t>
      </w:r>
    </w:p>
    <w:p w:rsidR="00BA0371" w:rsidRDefault="0020085B">
      <w:pPr>
        <w:pStyle w:val="Standard"/>
        <w:ind w:firstLine="708"/>
        <w:jc w:val="both"/>
      </w:pPr>
      <w:r>
        <w:t>Regionalny Dyrektor Ochrony Środowiska w Bydgoszczy, pismem z dnia 15 marca 2017 r., znak: WOO.4242.167.2016.MD1.4, z uwagi na sprzeczne info</w:t>
      </w:r>
      <w:r>
        <w:t>rmacje zawarte</w:t>
      </w:r>
      <w:r>
        <w:br/>
        <w:t>w raporcie oddziaływania na środowiska oraz jego uzupełnieniach, dotyczące nieruchomości nr ew. 129/1, zwrócił się z prośbą do Wójta Gminy Boniewo o przekazanie informacji,</w:t>
      </w:r>
      <w:r>
        <w:br/>
        <w:t>czy budynek zlokalizowany na ww. działce faktycznie stanowi pustosta</w:t>
      </w:r>
      <w:r>
        <w:t xml:space="preserve">n. Do dnia wydania niniejszego postanowienia nie otrzymano odpowiedzi na powyższą kwestię. </w:t>
      </w:r>
    </w:p>
    <w:p w:rsidR="00BA0371" w:rsidRDefault="0020085B">
      <w:pPr>
        <w:ind w:firstLine="708"/>
        <w:jc w:val="both"/>
        <w:rPr>
          <w:highlight w:val="white"/>
          <w:lang w:eastAsia="pl-PL"/>
        </w:rPr>
      </w:pPr>
      <w:r>
        <w:rPr>
          <w:shd w:val="clear" w:color="auto" w:fill="FFFFFF"/>
          <w:lang w:eastAsia="pl-PL"/>
        </w:rPr>
        <w:t>Na etapie realizacji głównym źródłem emisji substancji do powietrza będą zanieczyszczenia związane z pracą sprzętu budowlano - montażowego i środków transportu</w:t>
      </w:r>
      <w:r>
        <w:rPr>
          <w:shd w:val="clear" w:color="auto" w:fill="FFFFFF"/>
          <w:lang w:eastAsia="pl-PL"/>
        </w:rPr>
        <w:br/>
        <w:t>o na</w:t>
      </w:r>
      <w:r>
        <w:rPr>
          <w:shd w:val="clear" w:color="auto" w:fill="FFFFFF"/>
          <w:lang w:eastAsia="pl-PL"/>
        </w:rPr>
        <w:t>pędzie spalinowym, a także zanieczyszczenia związane z wykonywanymi pracami instalacyjnymi. Ocenia się, iż emisja zanieczyszczeń nie będzie miała istotnego wpływu</w:t>
      </w:r>
      <w:r>
        <w:rPr>
          <w:shd w:val="clear" w:color="auto" w:fill="FFFFFF"/>
          <w:lang w:eastAsia="pl-PL"/>
        </w:rPr>
        <w:br/>
        <w:t xml:space="preserve">na stan czystości powietrza atmosferycznego. </w:t>
      </w:r>
    </w:p>
    <w:p w:rsidR="00BA0371" w:rsidRDefault="0020085B">
      <w:pPr>
        <w:shd w:val="clear" w:color="auto" w:fill="FFFFFF"/>
        <w:ind w:firstLine="709"/>
        <w:jc w:val="both"/>
      </w:pPr>
      <w:r>
        <w:rPr>
          <w:shd w:val="clear" w:color="auto" w:fill="FFFFFF"/>
        </w:rPr>
        <w:t>Źródłem emisji hałasu do środowiska będzie ruch</w:t>
      </w:r>
      <w:r>
        <w:rPr>
          <w:shd w:val="clear" w:color="auto" w:fill="FFFFFF"/>
        </w:rPr>
        <w:t xml:space="preserve"> środków transportu dowożących surowce, a także maszyn i urządzeń związanych z realizacją inwestycji. </w:t>
      </w:r>
      <w:r>
        <w:rPr>
          <w:color w:val="000000"/>
          <w:shd w:val="clear" w:color="auto" w:fill="FFFFFF"/>
        </w:rPr>
        <w:t>Z uwagi</w:t>
      </w:r>
      <w:r>
        <w:rPr>
          <w:color w:val="000000"/>
          <w:shd w:val="clear" w:color="auto" w:fill="FFFFFF"/>
        </w:rPr>
        <w:br/>
        <w:t xml:space="preserve">na prowadzenie prac budowalnych </w:t>
      </w:r>
      <w:r>
        <w:t>(przede wszystkim prac hałaśliwych oraz związanych</w:t>
      </w:r>
      <w:r>
        <w:br/>
        <w:t>z wykorzystywaniem ciężkiego sprzętu/transportu)</w:t>
      </w:r>
      <w:r>
        <w:rPr>
          <w:color w:val="000000"/>
          <w:shd w:val="clear" w:color="auto" w:fill="FFFFFF"/>
        </w:rPr>
        <w:t xml:space="preserve"> wyłącznie w ci</w:t>
      </w:r>
      <w:r>
        <w:rPr>
          <w:color w:val="000000"/>
          <w:shd w:val="clear" w:color="auto" w:fill="FFFFFF"/>
        </w:rPr>
        <w:t>ągu dnia (6</w:t>
      </w:r>
      <w:r>
        <w:rPr>
          <w:color w:val="000000"/>
          <w:shd w:val="clear" w:color="auto" w:fill="FFFFFF"/>
          <w:vertAlign w:val="superscript"/>
        </w:rPr>
        <w:t>00</w:t>
      </w:r>
      <w:r>
        <w:rPr>
          <w:color w:val="000000"/>
          <w:shd w:val="clear" w:color="auto" w:fill="FFFFFF"/>
        </w:rPr>
        <w:t>–22</w:t>
      </w:r>
      <w:r>
        <w:rPr>
          <w:color w:val="000000"/>
          <w:shd w:val="clear" w:color="auto" w:fill="FFFFFF"/>
          <w:vertAlign w:val="superscript"/>
        </w:rPr>
        <w:t>00</w:t>
      </w:r>
      <w:r>
        <w:rPr>
          <w:color w:val="000000"/>
          <w:shd w:val="clear" w:color="auto" w:fill="FFFFFF"/>
        </w:rPr>
        <w:t>),</w:t>
      </w:r>
      <w:r>
        <w:rPr>
          <w:color w:val="000000"/>
          <w:shd w:val="clear" w:color="auto" w:fill="FFFFFF"/>
        </w:rPr>
        <w:br/>
        <w:t xml:space="preserve">nie przewiduje się powstania negatywnego oddziaływania. </w:t>
      </w:r>
    </w:p>
    <w:p w:rsidR="00BA0371" w:rsidRDefault="0020085B">
      <w:pPr>
        <w:ind w:firstLine="708"/>
        <w:jc w:val="both"/>
      </w:pPr>
      <w:r>
        <w:t>Potencjalne zagrożenie dla wód podziemnych mogą stanowić awarie sprzętu, maszyn budowlanych i środków transportu – wycieki paliwa, oleju, płynów eksploatacyjnych. Jednakże przy w</w:t>
      </w:r>
      <w:r>
        <w:t>ykonaniu wszystkich prac z należytą ostrożnością, dbałością o właściwą eksploatację i konserwację sprzętu, maszyn budowlanych i środków transportu oraz szybkiej reakcji na ewentualne wycieki – wyeliminowane zostanie ryzyko negatywnego oddziaływania na środ</w:t>
      </w:r>
      <w:r>
        <w:t xml:space="preserve">owisko wodne. </w:t>
      </w:r>
    </w:p>
    <w:p w:rsidR="00BA0371" w:rsidRDefault="0020085B">
      <w:pPr>
        <w:ind w:firstLine="708"/>
        <w:jc w:val="both"/>
      </w:pPr>
      <w:r>
        <w:t xml:space="preserve">Planowane wykopy wykonane zostaną do głębokości ok. 1,5 m p.p.t. i nie będą wymagały one odwodnienia. </w:t>
      </w:r>
    </w:p>
    <w:p w:rsidR="00BA0371" w:rsidRDefault="0020085B">
      <w:pPr>
        <w:ind w:firstLine="708"/>
        <w:jc w:val="both"/>
        <w:rPr>
          <w:color w:val="000000"/>
        </w:rPr>
      </w:pPr>
      <w:r>
        <w:rPr>
          <w:color w:val="000000"/>
          <w:shd w:val="clear" w:color="auto" w:fill="FFFFFF"/>
        </w:rPr>
        <w:t>W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fazie realizacji zamierzenia powstaną odpady związane z wykonaniem prac budowlanych, konstrukcyjnych i instalacyjnych.</w:t>
      </w:r>
      <w:r>
        <w:rPr>
          <w:color w:val="000000"/>
        </w:rPr>
        <w:t xml:space="preserve"> Gospodarka </w:t>
      </w:r>
      <w:r>
        <w:rPr>
          <w:color w:val="000000"/>
          <w:lang w:eastAsia="pl-PL"/>
        </w:rPr>
        <w:t>odpada</w:t>
      </w:r>
      <w:r>
        <w:rPr>
          <w:color w:val="000000"/>
          <w:lang w:eastAsia="pl-PL"/>
        </w:rPr>
        <w:t>mi będzie obejmować: segregowanie, gromadzenie w przeznaczonych do tego celu miejscach lub kontenerach</w:t>
      </w:r>
      <w:r>
        <w:rPr>
          <w:color w:val="000000"/>
          <w:lang w:eastAsia="pl-PL"/>
        </w:rPr>
        <w:br/>
        <w:t xml:space="preserve">oraz sukcesywne usuwanie z placu budowy zgodnie z obowiązującymi przepisami w tym zakresie. </w:t>
      </w:r>
      <w:r>
        <w:rPr>
          <w:color w:val="000000"/>
        </w:rPr>
        <w:t>Masy ziemne powstałe na etapie realizacji inwestycji, uwzględniając standardy jakości gleby i ziemi określone przepisami odrębnymi, wykorzystane zostaną do wypełniania powierzchni przekształconych oraz kształtowania obszaru na terenie budowy. Pozostałe mas</w:t>
      </w:r>
      <w:r>
        <w:rPr>
          <w:color w:val="000000"/>
        </w:rPr>
        <w:t xml:space="preserve">y ziemne przekazane zostaną </w:t>
      </w:r>
    </w:p>
    <w:p w:rsidR="00BA0371" w:rsidRDefault="0020085B">
      <w:pPr>
        <w:jc w:val="both"/>
      </w:pPr>
      <w:r>
        <w:rPr>
          <w:color w:val="000000"/>
        </w:rPr>
        <w:t>do przetwarzania, zgodnie z obowiązującymi przepisami,</w:t>
      </w:r>
      <w:r>
        <w:rPr>
          <w:color w:val="000000"/>
        </w:rPr>
        <w:br/>
        <w:t>poza teren inwestycji.</w:t>
      </w:r>
    </w:p>
    <w:p w:rsidR="00BA0371" w:rsidRDefault="0020085B">
      <w:pPr>
        <w:ind w:firstLine="708"/>
        <w:jc w:val="both"/>
      </w:pPr>
      <w:r>
        <w:t>Magazynowanie odpadów, powstałych podczas eksploatacji zamierzenia, odbywać się będzie selektywnie, w pojemnikach, koszach lub luzem w wyznaczonych m</w:t>
      </w:r>
      <w:r>
        <w:t>iejscach</w:t>
      </w:r>
      <w:r>
        <w:br/>
        <w:t>na terenie fermy</w:t>
      </w:r>
      <w:r>
        <w:rPr>
          <w:sz w:val="22"/>
          <w:szCs w:val="22"/>
        </w:rPr>
        <w:t xml:space="preserve">. </w:t>
      </w:r>
    </w:p>
    <w:p w:rsidR="00BA0371" w:rsidRDefault="0020085B">
      <w:pPr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Zwierzęta padłe i ubite z konieczności oraz odpadowa tkanka zwierzęca, do czasu przekazania uprawnionym odbiorcom, uwzględniając właściwości tych odpadów (niebezpieczne i inne niż niebezpieczne) przechowywane będą selektywnie, w</w:t>
      </w:r>
      <w:r>
        <w:rPr>
          <w:color w:val="000000"/>
          <w:lang w:eastAsia="pl-PL"/>
        </w:rPr>
        <w:t xml:space="preserve"> specjalnych, szczelnych pojemnikach chłodniczych, usytuowanych na utwardzonym podłożu w budynku murowanym, krytym dachem, zabezpieczonym przed dostępem zwierząt i osób postronnych.  </w:t>
      </w:r>
    </w:p>
    <w:p w:rsidR="00BA0371" w:rsidRDefault="0020085B">
      <w:pPr>
        <w:ind w:firstLine="708"/>
        <w:jc w:val="both"/>
        <w:rPr>
          <w:color w:val="000000"/>
          <w:highlight w:val="white"/>
          <w:lang w:eastAsia="pl-PL"/>
        </w:rPr>
      </w:pPr>
      <w:r>
        <w:rPr>
          <w:color w:val="000000"/>
          <w:shd w:val="clear" w:color="auto" w:fill="FFFFFF"/>
          <w:lang w:eastAsia="pl-PL"/>
        </w:rPr>
        <w:t>W przypadku sytuacji odbiegającej od warunków normalnych, m.in. wystąpie</w:t>
      </w:r>
      <w:r>
        <w:rPr>
          <w:color w:val="000000"/>
          <w:shd w:val="clear" w:color="auto" w:fill="FFFFFF"/>
          <w:lang w:eastAsia="pl-PL"/>
        </w:rPr>
        <w:t xml:space="preserve">nia choroby powodującej w skrajnym przypadku likwidację stada, należy postępować ściśle według wskazań Powiatowego Lekarza Weterynarii oraz obowiązujących w tym zakresie przepisów prawa. </w:t>
      </w:r>
    </w:p>
    <w:p w:rsidR="00BA0371" w:rsidRDefault="0020085B">
      <w:pPr>
        <w:ind w:firstLine="709"/>
        <w:jc w:val="both"/>
      </w:pPr>
      <w:r>
        <w:rPr>
          <w:color w:val="000000"/>
          <w:lang w:eastAsia="pl-PL"/>
        </w:rPr>
        <w:t>Powstający w wyniku procesu technologicznego po</w:t>
      </w:r>
      <w:r>
        <w:t>miot kurzy zostanie w</w:t>
      </w:r>
      <w:r>
        <w:t>ykorzystywany jako nawóz naturalny na gruntach rolnych należących do Inwestora</w:t>
      </w:r>
      <w:r>
        <w:br/>
        <w:t>(ok. 38 ha) oraz przekazywany do wykorzystania innym gospodarstwom na podstawie zawartych umów. Obornik kurzy na płytę obornikową transportowany będzie luzem, zabezpieczony w sp</w:t>
      </w:r>
      <w:r>
        <w:t>osób, który uniemożliwi jego rozsypywanie się, pylenie i zamoknięcie.</w:t>
      </w:r>
    </w:p>
    <w:p w:rsidR="00BA0371" w:rsidRDefault="0020085B">
      <w:pPr>
        <w:ind w:firstLine="709"/>
        <w:jc w:val="both"/>
      </w:pPr>
      <w:r>
        <w:rPr>
          <w:rStyle w:val="txt11"/>
          <w:color w:val="000000"/>
        </w:rPr>
        <w:t>Zagospodarowanie nawozu będzie odbywać się zgodnie z zasadami określonymi</w:t>
      </w:r>
      <w:r>
        <w:rPr>
          <w:rStyle w:val="txt11"/>
          <w:color w:val="000000"/>
        </w:rPr>
        <w:br/>
        <w:t xml:space="preserve">w przepisach odrębnych – obecnie ustawa </w:t>
      </w:r>
      <w:r>
        <w:rPr>
          <w:rStyle w:val="txt11"/>
          <w:rFonts w:eastAsia="TimesNewRomanPSMT;Times New Rom"/>
          <w:color w:val="000000"/>
        </w:rPr>
        <w:t xml:space="preserve">z dnia 10 lipca 2007 r. </w:t>
      </w:r>
      <w:r>
        <w:rPr>
          <w:rStyle w:val="txt11"/>
          <w:color w:val="000000"/>
        </w:rPr>
        <w:t xml:space="preserve">o nawozach i nawożeniu </w:t>
      </w:r>
      <w:r>
        <w:rPr>
          <w:rStyle w:val="txt11"/>
          <w:rFonts w:eastAsia="TimesNewRomanPSMT;Times New Rom"/>
          <w:color w:val="000000"/>
        </w:rPr>
        <w:t xml:space="preserve"> (Dz. U. 2017 r., poz. 66</w:t>
      </w:r>
      <w:r>
        <w:rPr>
          <w:rStyle w:val="txt11"/>
          <w:rFonts w:eastAsia="TimesNewRomanPSMT;Times New Rom"/>
          <w:color w:val="000000"/>
        </w:rPr>
        <w:t xml:space="preserve">8 j.t.) </w:t>
      </w:r>
      <w:r>
        <w:rPr>
          <w:rStyle w:val="txt11"/>
          <w:color w:val="000000"/>
        </w:rPr>
        <w:t>oraz Kodeksie Dobrej Praktyki Rolniczej.</w:t>
      </w:r>
    </w:p>
    <w:p w:rsidR="00BA0371" w:rsidRDefault="0020085B">
      <w:pPr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Po zakończeniu procesu inwestycyjnego źródłem hałasu na terenie przedmiotowego zespołu inwentarskiego będzie: </w:t>
      </w:r>
    </w:p>
    <w:p w:rsidR="00BA0371" w:rsidRDefault="0020085B">
      <w:pPr>
        <w:numPr>
          <w:ilvl w:val="0"/>
          <w:numId w:val="4"/>
        </w:numPr>
        <w:spacing w:after="31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utrzymanie drobiu w budynkach inwentarskich oraz czynności obsługowe wewnątrz obiektów, </w:t>
      </w:r>
    </w:p>
    <w:p w:rsidR="00BA0371" w:rsidRDefault="0020085B">
      <w:pPr>
        <w:numPr>
          <w:ilvl w:val="0"/>
          <w:numId w:val="4"/>
        </w:numPr>
        <w:spacing w:after="31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praca s</w:t>
      </w:r>
      <w:r>
        <w:rPr>
          <w:color w:val="000000"/>
          <w:lang w:eastAsia="pl-PL"/>
        </w:rPr>
        <w:t xml:space="preserve">ystemów wentylacji mechanicznej kurników, </w:t>
      </w:r>
    </w:p>
    <w:p w:rsidR="00BA0371" w:rsidRDefault="0020085B">
      <w:pPr>
        <w:numPr>
          <w:ilvl w:val="0"/>
          <w:numId w:val="4"/>
        </w:numPr>
        <w:spacing w:after="31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ruch pojazdów w obrębie przedsięwzięcia. </w:t>
      </w:r>
    </w:p>
    <w:p w:rsidR="00BA0371" w:rsidRDefault="0020085B">
      <w:pPr>
        <w:ind w:firstLine="708"/>
        <w:jc w:val="both"/>
      </w:pPr>
      <w:r>
        <w:rPr>
          <w:color w:val="000000"/>
          <w:lang w:eastAsia="pl-PL"/>
        </w:rPr>
        <w:t xml:space="preserve">Kurniki jako obiekty hodowlane będą funkcjonowały w ruchu ciągłym (całodobowo), natomiast prace związane z chowem zwierząt i funkcjonowaniem obiektów, które są źródłem </w:t>
      </w:r>
      <w:r>
        <w:rPr>
          <w:color w:val="000000"/>
          <w:lang w:eastAsia="pl-PL"/>
        </w:rPr>
        <w:t>hałasu, w szczególności takie jak: rozładunek paszy do silosów, transport odpadów</w:t>
      </w:r>
      <w:r>
        <w:rPr>
          <w:color w:val="000000"/>
          <w:lang w:eastAsia="pl-PL"/>
        </w:rPr>
        <w:br/>
        <w:t>pomiotu i opróżnianie zbiorników technologicznych będą realizowane wyłącznie w porze dziennej (w godz. 6:00 – 22:00).</w:t>
      </w:r>
      <w:r>
        <w:t xml:space="preserve"> </w:t>
      </w:r>
    </w:p>
    <w:p w:rsidR="00BA0371" w:rsidRDefault="0020085B">
      <w:pPr>
        <w:ind w:firstLine="708"/>
        <w:jc w:val="both"/>
      </w:pPr>
      <w:r>
        <w:t>W każdym z czterech nowoprojektowanych kurników zainsta</w:t>
      </w:r>
      <w:r>
        <w:t>lowanych zostanie maksymalnie:</w:t>
      </w:r>
    </w:p>
    <w:p w:rsidR="00BA0371" w:rsidRDefault="0020085B">
      <w:pPr>
        <w:numPr>
          <w:ilvl w:val="0"/>
          <w:numId w:val="5"/>
        </w:numPr>
        <w:ind w:left="360"/>
        <w:jc w:val="both"/>
      </w:pPr>
      <w:r>
        <w:t>po 12 wentylatorów mechanicznych kominowych o maksymalnej mocy akustycznej</w:t>
      </w:r>
      <w:r>
        <w:br/>
        <w:t>53 dB (A) każdego z nich,</w:t>
      </w:r>
    </w:p>
    <w:p w:rsidR="00BA0371" w:rsidRDefault="0020085B">
      <w:pPr>
        <w:numPr>
          <w:ilvl w:val="0"/>
          <w:numId w:val="5"/>
        </w:numPr>
        <w:ind w:left="360"/>
        <w:jc w:val="both"/>
      </w:pPr>
      <w:r>
        <w:t>po 6 wentylatorów szczytowych (ściennych) o maksymalnej mocy akustycznej 64 dB (A) każdego z nich.</w:t>
      </w:r>
    </w:p>
    <w:p w:rsidR="00BA0371" w:rsidRDefault="0020085B">
      <w:pPr>
        <w:ind w:firstLine="708"/>
        <w:jc w:val="both"/>
      </w:pPr>
      <w:r>
        <w:t>Analiza emisji hałasu prz</w:t>
      </w:r>
      <w:r>
        <w:t>edstawiona w raporcie o oddziaływania na środowisko</w:t>
      </w:r>
      <w:r>
        <w:br/>
        <w:t>nie wykazała wystąpienia przekroczeń dopuszczalnych poziomów hałasu w środowisku uwzględniając lokalizację najbliżej położonych terenów chronionych akustycznie.</w:t>
      </w:r>
    </w:p>
    <w:p w:rsidR="00BA0371" w:rsidRDefault="0020085B">
      <w:pPr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Źródłem emisji do powietrza z terenu projek</w:t>
      </w:r>
      <w:r>
        <w:rPr>
          <w:color w:val="000000"/>
          <w:lang w:eastAsia="pl-PL"/>
        </w:rPr>
        <w:t xml:space="preserve">towanego zespołu inwentarskiego będzie: </w:t>
      </w:r>
    </w:p>
    <w:p w:rsidR="00BA0371" w:rsidRDefault="0020085B">
      <w:pPr>
        <w:numPr>
          <w:ilvl w:val="0"/>
          <w:numId w:val="6"/>
        </w:numPr>
        <w:spacing w:after="31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chów brojlerów kurzych w obiektach inwentarskich z wentylacją mechaniczną, </w:t>
      </w:r>
    </w:p>
    <w:p w:rsidR="00BA0371" w:rsidRDefault="0020085B">
      <w:pPr>
        <w:numPr>
          <w:ilvl w:val="0"/>
          <w:numId w:val="6"/>
        </w:numPr>
        <w:spacing w:after="31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ogrzewanie kurników, </w:t>
      </w:r>
    </w:p>
    <w:p w:rsidR="00BA0371" w:rsidRDefault="0020085B">
      <w:pPr>
        <w:numPr>
          <w:ilvl w:val="0"/>
          <w:numId w:val="6"/>
        </w:numPr>
        <w:spacing w:after="31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magazynowanie paszy w silosach – podczas napełniania silosów paszą będzie zachodziła emisja pyłu z zaworów odpowietrz</w:t>
      </w:r>
      <w:r>
        <w:rPr>
          <w:color w:val="000000"/>
          <w:lang w:eastAsia="pl-PL"/>
        </w:rPr>
        <w:t xml:space="preserve">ających zbiorniki. </w:t>
      </w:r>
    </w:p>
    <w:p w:rsidR="00BA0371" w:rsidRDefault="0020085B">
      <w:pPr>
        <w:ind w:firstLine="709"/>
        <w:jc w:val="both"/>
      </w:pPr>
      <w:r>
        <w:rPr>
          <w:color w:val="000000"/>
          <w:lang w:eastAsia="pl-PL"/>
        </w:rPr>
        <w:t>Źródłem emisji niezorganizowanej na terenie przedsięwzięcia będzie ruch pojazdów poruszających się po terenie fermy (dostarczających i odbierających drób, dostarczających paszę i inne niezbędne produkty, odbierające ścieki, padłe sztuki</w:t>
      </w:r>
      <w:r>
        <w:rPr>
          <w:color w:val="000000"/>
          <w:lang w:eastAsia="pl-PL"/>
        </w:rPr>
        <w:t>, obornik i odpady).</w:t>
      </w:r>
      <w:r>
        <w:rPr>
          <w:color w:val="000000"/>
          <w:lang w:eastAsia="pl-PL"/>
        </w:rPr>
        <w:br/>
        <w:t xml:space="preserve">W projektowanych kurnikach zużyte powietrze usuwane będzie systemem wentylacji </w:t>
      </w:r>
    </w:p>
    <w:p w:rsidR="00BA0371" w:rsidRDefault="0020085B">
      <w:pPr>
        <w:jc w:val="both"/>
      </w:pPr>
      <w:r>
        <w:rPr>
          <w:color w:val="000000"/>
          <w:lang w:eastAsia="pl-PL"/>
        </w:rPr>
        <w:t>mechanicznej, sterowanej automatycznie. System wentylacji mechanicznej każdego</w:t>
      </w:r>
      <w:r>
        <w:rPr>
          <w:color w:val="000000"/>
          <w:lang w:eastAsia="pl-PL"/>
        </w:rPr>
        <w:br/>
        <w:t>z kurników będzie się składał z:</w:t>
      </w:r>
    </w:p>
    <w:p w:rsidR="00BA0371" w:rsidRDefault="0020085B">
      <w:pPr>
        <w:numPr>
          <w:ilvl w:val="0"/>
          <w:numId w:val="7"/>
        </w:numPr>
        <w:ind w:left="723"/>
        <w:jc w:val="both"/>
      </w:pPr>
      <w:r>
        <w:rPr>
          <w:color w:val="000000"/>
          <w:lang w:eastAsia="pl-PL"/>
        </w:rPr>
        <w:t>12 emitorów niezadaszonych, o wydajności mi</w:t>
      </w:r>
      <w:r>
        <w:rPr>
          <w:color w:val="000000"/>
          <w:lang w:eastAsia="pl-PL"/>
        </w:rPr>
        <w:t>n. 12 500 m</w:t>
      </w:r>
      <w:r>
        <w:rPr>
          <w:color w:val="000000"/>
          <w:vertAlign w:val="superscript"/>
          <w:lang w:eastAsia="pl-PL"/>
        </w:rPr>
        <w:t>3</w:t>
      </w:r>
      <w:r>
        <w:rPr>
          <w:color w:val="000000"/>
          <w:lang w:eastAsia="pl-PL"/>
        </w:rPr>
        <w:t>/h, o wysokości min. 6 m</w:t>
      </w:r>
      <w:r>
        <w:rPr>
          <w:color w:val="000000"/>
          <w:lang w:eastAsia="pl-PL"/>
        </w:rPr>
        <w:br/>
        <w:t>i średnicy na wylocie ok. 0,63 m,</w:t>
      </w:r>
    </w:p>
    <w:p w:rsidR="00BA0371" w:rsidRDefault="0020085B">
      <w:pPr>
        <w:numPr>
          <w:ilvl w:val="0"/>
          <w:numId w:val="7"/>
        </w:numPr>
        <w:ind w:left="723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6 emitorów bocznych, o przekroju ok. 1,4 m (czas pracy do 1080 h/rok).</w:t>
      </w:r>
    </w:p>
    <w:p w:rsidR="00BA0371" w:rsidRDefault="0020085B">
      <w:pPr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Do celów grzewczych, w każdym z projektowanych kurników zainstalowanych zostanie maksymalnie po 4 nagrzewnice </w:t>
      </w:r>
      <w:r>
        <w:rPr>
          <w:color w:val="000000"/>
          <w:lang w:eastAsia="pl-PL"/>
        </w:rPr>
        <w:t>gazowe o mocy cieplnej do 100 kW każdego urządzenia.</w:t>
      </w:r>
    </w:p>
    <w:p w:rsidR="00BA0371" w:rsidRDefault="0020085B">
      <w:pPr>
        <w:ind w:firstLine="708"/>
        <w:jc w:val="both"/>
        <w:rPr>
          <w:color w:val="000000"/>
          <w:highlight w:val="white"/>
          <w:lang w:eastAsia="pl-PL"/>
        </w:rPr>
      </w:pPr>
      <w:r>
        <w:rPr>
          <w:color w:val="000000"/>
          <w:shd w:val="clear" w:color="auto" w:fill="FFFFFF"/>
          <w:lang w:eastAsia="pl-PL"/>
        </w:rPr>
        <w:t>W celu ograniczenia emisji substancji odorotwórczych, w ramach planowanej inwestycji, przewiduje się:</w:t>
      </w:r>
    </w:p>
    <w:p w:rsidR="00BA0371" w:rsidRDefault="0020085B">
      <w:pPr>
        <w:numPr>
          <w:ilvl w:val="0"/>
          <w:numId w:val="8"/>
        </w:numPr>
        <w:ind w:left="714" w:hanging="357"/>
        <w:jc w:val="both"/>
        <w:rPr>
          <w:lang w:eastAsia="pl-PL"/>
        </w:rPr>
      </w:pPr>
      <w:r>
        <w:rPr>
          <w:lang w:eastAsia="pl-PL"/>
        </w:rPr>
        <w:t>utrzymywać wysoki poziom higieny pomieszczeń inwentarskich, poprzez okresową dezynfekcję (po każdym c</w:t>
      </w:r>
      <w:r>
        <w:rPr>
          <w:lang w:eastAsia="pl-PL"/>
        </w:rPr>
        <w:t>yklu produkcyjnym);</w:t>
      </w:r>
    </w:p>
    <w:p w:rsidR="00BA0371" w:rsidRDefault="0020085B">
      <w:pPr>
        <w:numPr>
          <w:ilvl w:val="0"/>
          <w:numId w:val="8"/>
        </w:numPr>
        <w:ind w:left="714" w:hanging="357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systematyczną kontrolę urządzeń technicznych i instalacji;</w:t>
      </w:r>
    </w:p>
    <w:p w:rsidR="00BA0371" w:rsidRDefault="0020085B">
      <w:pPr>
        <w:numPr>
          <w:ilvl w:val="0"/>
          <w:numId w:val="8"/>
        </w:numPr>
        <w:ind w:left="714" w:hanging="357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zastosowanie odpowiednio dobranego systemu żywienia dostosowanego do wieku</w:t>
      </w:r>
      <w:r>
        <w:rPr>
          <w:color w:val="000000"/>
          <w:lang w:eastAsia="pl-PL"/>
        </w:rPr>
        <w:br/>
        <w:t>i kondycji zwierząt, zapewniającego efektywne wykorzystanie składników pokarmowych;</w:t>
      </w:r>
    </w:p>
    <w:p w:rsidR="00BA0371" w:rsidRDefault="0020085B">
      <w:pPr>
        <w:numPr>
          <w:ilvl w:val="0"/>
          <w:numId w:val="8"/>
        </w:numPr>
        <w:ind w:left="714" w:hanging="357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stosowanie szczeln</w:t>
      </w:r>
      <w:r>
        <w:rPr>
          <w:color w:val="000000"/>
          <w:lang w:eastAsia="pl-PL"/>
        </w:rPr>
        <w:t>ego systemu poideł;</w:t>
      </w:r>
    </w:p>
    <w:p w:rsidR="00BA0371" w:rsidRDefault="0020085B">
      <w:pPr>
        <w:numPr>
          <w:ilvl w:val="0"/>
          <w:numId w:val="8"/>
        </w:numPr>
        <w:ind w:left="714" w:hanging="357"/>
        <w:jc w:val="both"/>
      </w:pPr>
      <w:r>
        <w:rPr>
          <w:color w:val="000000"/>
          <w:lang w:eastAsia="pl-PL"/>
        </w:rPr>
        <w:t>zapewnienie odpowiedniego mikroklimatu wewnątrz budynków, poprzez sprawny system wentylacji</w:t>
      </w:r>
      <w:r>
        <w:rPr>
          <w:lang w:eastAsia="pl-PL"/>
        </w:rPr>
        <w:t>;</w:t>
      </w:r>
    </w:p>
    <w:p w:rsidR="00BA0371" w:rsidRDefault="0020085B">
      <w:pPr>
        <w:numPr>
          <w:ilvl w:val="0"/>
          <w:numId w:val="8"/>
        </w:numPr>
        <w:ind w:left="714" w:hanging="357"/>
        <w:jc w:val="both"/>
      </w:pPr>
      <w:r>
        <w:rPr>
          <w:color w:val="000000"/>
          <w:shd w:val="clear" w:color="auto" w:fill="FFFFFF"/>
        </w:rPr>
        <w:t>stosować worki filtracyjne bądź alternatywne wysokosprawne urządzenia odpylające podczas pneumatycznego rozładunku paszy do silosów</w:t>
      </w:r>
      <w:r>
        <w:rPr>
          <w:lang w:eastAsia="pl-PL"/>
        </w:rPr>
        <w:t>.</w:t>
      </w:r>
    </w:p>
    <w:p w:rsidR="00BA0371" w:rsidRDefault="0020085B">
      <w:pPr>
        <w:ind w:firstLine="708"/>
        <w:jc w:val="both"/>
      </w:pPr>
      <w:r>
        <w:t xml:space="preserve">Z analizy rozprzestrzeniania się zanieczyszczeń w powietrzu, będącej częścią składową przedłożonego raportu, wynika iż standardy jakości powietrza zostaną dotrzymane. </w:t>
      </w:r>
    </w:p>
    <w:p w:rsidR="00BA0371" w:rsidRDefault="0020085B">
      <w:pPr>
        <w:ind w:firstLine="708"/>
        <w:jc w:val="both"/>
      </w:pPr>
      <w:r>
        <w:t>Przedsięwzięcie związane będzie z wystąpieniem oddziaływania skumulowanego,</w:t>
      </w:r>
      <w:r>
        <w:br/>
        <w:t>głównie w po</w:t>
      </w:r>
      <w:r>
        <w:t>wietrzu i hałasie, gdzie zajdą reakcje pomiędzy różnymi substancjami zanieczyszczającymi, z istniejącymi obiektami inwentarskimi znajdującymi się na terenie omawianej nieruchomości. Przedłożone w raporcie analizy: akustyczna oraz wpływu emisji</w:t>
      </w:r>
      <w:r>
        <w:br/>
        <w:t>na stan jako</w:t>
      </w:r>
      <w:r>
        <w:t xml:space="preserve">ści powietrza atmosferycznego wykazały, że nie dojdzie do przekroczenia dopuszczalnych poziomów hałasu oraz zanieczyszczeń w powietrzu. </w:t>
      </w:r>
    </w:p>
    <w:p w:rsidR="00BA0371" w:rsidRDefault="0020085B">
      <w:pPr>
        <w:ind w:firstLine="708"/>
        <w:jc w:val="both"/>
      </w:pPr>
      <w:r>
        <w:t>W literaturze fachowej dotyczącej chowu i hodowli zwierząt wskazuje się różny poziom emisji tych obiektów. Największe z</w:t>
      </w:r>
      <w:r>
        <w:t>naczenie – ze względu na organ publikujący opracowanie, szeroki zakres konsultacji i zbierania danych mają wskaźniki określone</w:t>
      </w:r>
      <w:r>
        <w:br/>
        <w:t>w dokumencie referencyjnym dotyczących Najlepszych Dostępnych Technik (tzw. BAT). Określona tam wielkość emisji dla chowu brojler</w:t>
      </w:r>
      <w:r>
        <w:t>ów wynosi od 0,005 do 0,315 kg/szt./rok.</w:t>
      </w:r>
      <w:r>
        <w:br/>
        <w:t>W przedłożonej dokumentacji zastosowano wskaźnik emisji amoniaku wynoszący</w:t>
      </w:r>
      <w:r>
        <w:br/>
        <w:t>0,027 kg/szt./rok. Z punktu widzenia standardów jakości środowiska, w raporcie wykazano, że na podstawie przyjętych przez autorów raportu za</w:t>
      </w:r>
      <w:r>
        <w:t xml:space="preserve">łożeń będą one zachowane. </w:t>
      </w:r>
    </w:p>
    <w:p w:rsidR="00BA0371" w:rsidRDefault="0020085B">
      <w:pPr>
        <w:pStyle w:val="NormalnyWeb"/>
        <w:spacing w:before="0" w:after="0"/>
        <w:ind w:firstLine="709"/>
        <w:jc w:val="both"/>
      </w:pPr>
      <w:r>
        <w:rPr>
          <w:color w:val="000000"/>
          <w:shd w:val="clear" w:color="auto" w:fill="FFFFFF"/>
          <w:lang w:eastAsia="pl-PL"/>
        </w:rPr>
        <w:t xml:space="preserve">Jednocześnie z uwagi na skalę przedsięwzięcia oraz z uwagi na przyjęty wskaźnik emisji amoniaku </w:t>
      </w:r>
      <w:r>
        <w:rPr>
          <w:rStyle w:val="txt11"/>
          <w:color w:val="000000"/>
          <w:shd w:val="clear" w:color="auto" w:fill="FFFFFF"/>
        </w:rPr>
        <w:t xml:space="preserve">Inwestor zobowiązany będzie wykonać analizę porealizacyjną po upływnie maksymalnie </w:t>
      </w:r>
      <w:r>
        <w:rPr>
          <w:rFonts w:eastAsia="TimesNewRomanPSMT;Times New Rom" w:cs="TimesNewRomanPSMT;Times New Rom"/>
          <w:color w:val="000000"/>
        </w:rPr>
        <w:t xml:space="preserve">2 miesięcy od rozpoczęcia eksploatacji obiektu, w </w:t>
      </w:r>
      <w:r>
        <w:rPr>
          <w:rFonts w:eastAsia="TimesNewRomanPSMT;Times New Rom" w:cs="TimesNewRomanPSMT;Times New Rom"/>
          <w:color w:val="000000"/>
        </w:rPr>
        <w:t>zakresie dyspersji odorantów (amoniak, siarkowodór) oraz pyłów (pył ogółem, PM10, PM2,5).</w:t>
      </w:r>
      <w:r>
        <w:rPr>
          <w:color w:val="000000"/>
        </w:rPr>
        <w:t xml:space="preserve"> </w:t>
      </w:r>
      <w:r>
        <w:rPr>
          <w:rFonts w:eastAsia="TimesNewRomanPSMT;Times New Rom" w:cs="TimesNewRomanPSMT;Times New Rom"/>
          <w:color w:val="000000"/>
        </w:rPr>
        <w:t>Przedmiotową analizę należy wykonać, uwzględniając pomiary emisji zanieczyszczeń do powietrza wykonane</w:t>
      </w:r>
      <w:r>
        <w:rPr>
          <w:rFonts w:eastAsia="TimesNewRomanPSMT;Times New Rom" w:cs="TimesNewRomanPSMT;Times New Rom"/>
          <w:color w:val="000000"/>
        </w:rPr>
        <w:br/>
        <w:t xml:space="preserve">w trakcie trwania cyklu produkcyjnego, przy pełnej obsadzie, w </w:t>
      </w:r>
      <w:r>
        <w:rPr>
          <w:rFonts w:eastAsia="TimesNewRomanPSMT;Times New Rom" w:cs="TimesNewRomanPSMT;Times New Rom"/>
          <w:color w:val="000000"/>
        </w:rPr>
        <w:t xml:space="preserve">ciągu trzech kolejnych, ostatnich tygodni trwania cyklu (przy wadze zwierząt powyżej 1 kg). </w:t>
      </w:r>
    </w:p>
    <w:p w:rsidR="00BA0371" w:rsidRDefault="0020085B">
      <w:pPr>
        <w:ind w:firstLine="708"/>
        <w:jc w:val="both"/>
      </w:pPr>
      <w:r>
        <w:rPr>
          <w:rFonts w:eastAsia="TimesNewRomanPSMT;Times New Rom" w:cs="TimesNewRomanPSMT;Times New Rom"/>
          <w:color w:val="000000"/>
        </w:rPr>
        <w:t>W przedmiotowej analizie należy przedstawić przede wszystkim:</w:t>
      </w:r>
      <w:r>
        <w:rPr>
          <w:color w:val="000000"/>
        </w:rPr>
        <w:t xml:space="preserve"> </w:t>
      </w:r>
      <w:r>
        <w:rPr>
          <w:rFonts w:eastAsia="TimesNewRomanPSMT;Times New Rom" w:cs="TimesNewRomanPSMT;Times New Rom"/>
          <w:color w:val="000000"/>
        </w:rPr>
        <w:t>obsadę, przy której przeprowadzane były pomiary, przybliżoną wagę zwierząt w trakcie wykonywania pomi</w:t>
      </w:r>
      <w:r>
        <w:rPr>
          <w:rFonts w:eastAsia="TimesNewRomanPSMT;Times New Rom" w:cs="TimesNewRomanPSMT;Times New Rom"/>
          <w:color w:val="000000"/>
        </w:rPr>
        <w:t>arów; datę i godzinę wykonania pomiarów; dane wejściowe i wyjściowe z programu</w:t>
      </w:r>
      <w:r>
        <w:rPr>
          <w:rFonts w:eastAsia="TimesNewRomanPSMT;Times New Rom" w:cs="TimesNewRomanPSMT;Times New Rom"/>
          <w:color w:val="000000"/>
        </w:rPr>
        <w:br/>
        <w:t>do modelowania rozprzestrzeniania się zanieczyszczeń w powietrzu atmosferycznym, zgodnie z metodyką zawartą w ww. rozporządzeniu Ministra Środowiska w sprawie wartości odniesien</w:t>
      </w:r>
      <w:r>
        <w:rPr>
          <w:rFonts w:eastAsia="TimesNewRomanPSMT;Times New Rom" w:cs="TimesNewRomanPSMT;Times New Rom"/>
          <w:color w:val="000000"/>
        </w:rPr>
        <w:t xml:space="preserve">ia niektórych substancji w powietrzu; parametry emitorów, rodzaj, model, wydajność z którą pracowały podczas pomiarów, ilość, usytuowanie -  wraz z załącznikiem graficznym; </w:t>
      </w:r>
      <w:r>
        <w:rPr>
          <w:color w:val="000000"/>
        </w:rPr>
        <w:t xml:space="preserve"> </w:t>
      </w:r>
      <w:r>
        <w:rPr>
          <w:rFonts w:eastAsia="TimesNewRomanPSMT;Times New Rom" w:cs="TimesNewRomanPSMT;Times New Rom"/>
          <w:color w:val="000000"/>
        </w:rPr>
        <w:t>informację, o innych źródłach substancji złowonnych w najbliższym otoczeniu (budyn</w:t>
      </w:r>
      <w:r>
        <w:rPr>
          <w:rFonts w:eastAsia="TimesNewRomanPSMT;Times New Rom" w:cs="TimesNewRomanPSMT;Times New Rom"/>
          <w:color w:val="000000"/>
        </w:rPr>
        <w:t xml:space="preserve">ki inwentarskie, płyty obornikowe, </w:t>
      </w:r>
    </w:p>
    <w:p w:rsidR="00BA0371" w:rsidRDefault="0020085B">
      <w:pPr>
        <w:jc w:val="both"/>
      </w:pPr>
      <w:r>
        <w:rPr>
          <w:rFonts w:eastAsia="TimesNewRomanPSMT;Times New Rom" w:cs="TimesNewRomanPSMT;Times New Rom"/>
          <w:color w:val="000000"/>
        </w:rPr>
        <w:t>zbiorniki na gnojowicę itp.) oraz odniesienie się</w:t>
      </w:r>
      <w:r>
        <w:rPr>
          <w:rFonts w:eastAsia="TimesNewRomanPSMT;Times New Rom" w:cs="TimesNewRomanPSMT;Times New Rom"/>
          <w:color w:val="000000"/>
        </w:rPr>
        <w:br/>
        <w:t xml:space="preserve">do kumulacji emisji. </w:t>
      </w:r>
    </w:p>
    <w:p w:rsidR="00BA0371" w:rsidRDefault="0020085B">
      <w:pPr>
        <w:jc w:val="both"/>
      </w:pPr>
      <w:r>
        <w:rPr>
          <w:color w:val="000000"/>
          <w:lang w:eastAsia="pl-PL"/>
        </w:rPr>
        <w:t xml:space="preserve">Pomiary powinny być </w:t>
      </w:r>
      <w:r>
        <w:t xml:space="preserve">przeprowadzone przez laboratorium posiadające certyfikat akredytacji, wydany przez PCA lub równoprawną jednostkę akredytującą. </w:t>
      </w:r>
    </w:p>
    <w:p w:rsidR="00BA0371" w:rsidRDefault="0020085B">
      <w:pPr>
        <w:ind w:firstLine="708"/>
        <w:jc w:val="both"/>
      </w:pPr>
      <w:r>
        <w:t xml:space="preserve"> Podkreśla się, że pod pojęciem „analizy porealizacyjnej” rozumie się studia</w:t>
      </w:r>
      <w:r>
        <w:br/>
        <w:t>i badania mające na celu porównanie charakteru i wielkości prognozowanych oddziaływań zidentyfikowanych oraz opisanych w raporcie o oddziaływaniu na środowisko oraz decyzji</w:t>
      </w:r>
      <w:r>
        <w:br/>
        <w:t>o środ</w:t>
      </w:r>
      <w:r>
        <w:t>owiskowych uwarunkowaniach z oddziaływaniami, które wystąpiły w rzeczywistości po realizacji przedsięwzięcia. W związku z powyższym, analiza porealizacyjna ma na celu weryfikację przyjętych rozwiązań projektowych oraz zaplanowanych urządzeń chroniących śro</w:t>
      </w:r>
      <w:r>
        <w:t>dowisko, rozważenie możliwości zastosowania ewentualnych, dodatkowych środków zaradczych, a w przypadku stwierdzenia nieprawidłowości – zapobieganie negatywnym skutkom.</w:t>
      </w:r>
    </w:p>
    <w:p w:rsidR="00BA0371" w:rsidRDefault="0020085B">
      <w:pPr>
        <w:ind w:firstLine="708"/>
        <w:jc w:val="both"/>
      </w:pPr>
      <w:r>
        <w:t>W przypadku uzyskania wartości większych, od zakładanych w raporcie Inwestor zobligowan</w:t>
      </w:r>
      <w:r>
        <w:t>y będzie do zastosowania dodatkowych metod ograniczenia emisji.</w:t>
      </w:r>
    </w:p>
    <w:p w:rsidR="00BA0371" w:rsidRDefault="0020085B">
      <w:pPr>
        <w:ind w:firstLine="708"/>
        <w:jc w:val="both"/>
      </w:pPr>
      <w:r>
        <w:t xml:space="preserve">Uzyskane wyniki należy przedstawić w terminie 4 miesięcy od rozpoczęcia eksploatacji, Regionalnemu Dyrektorowi Ochrony Środowiska w Bydgoszczy oraz Wojewódzkiemu Inspektorowi Ochrony </w:t>
      </w:r>
      <w:r>
        <w:t>Środowiska w Bydgoszczy, celem weryfikacji przyjętej w raporcie koncepcji technologicznej.</w:t>
      </w:r>
    </w:p>
    <w:p w:rsidR="00BA0371" w:rsidRDefault="0020085B">
      <w:pPr>
        <w:ind w:firstLine="708"/>
        <w:jc w:val="both"/>
      </w:pPr>
      <w:r>
        <w:rPr>
          <w:color w:val="000000"/>
        </w:rPr>
        <w:t>Przedmiotowe zadanie będzie związane z emisją gazów cieplarnianych do atmosfery.</w:t>
      </w:r>
      <w:r>
        <w:rPr>
          <w:color w:val="000000"/>
          <w:shd w:val="clear" w:color="auto" w:fill="FFFFFF"/>
          <w:lang w:eastAsia="pl-PL"/>
        </w:rPr>
        <w:br/>
      </w:r>
      <w:r>
        <w:t>W celu zoptymalizowania przebiegu procesu technologicznego oraz zużycia materiałów</w:t>
      </w:r>
      <w:r>
        <w:br/>
        <w:t>i</w:t>
      </w:r>
      <w:r>
        <w:t xml:space="preserve"> energii w budynkach inwentarskich zostaną wykorzystane energooszczędne urządzenia,</w:t>
      </w:r>
      <w:r>
        <w:br/>
        <w:t xml:space="preserve">w tym oświetlenie. </w:t>
      </w:r>
      <w:r>
        <w:rPr>
          <w:color w:val="000000"/>
          <w:lang w:eastAsia="pl-PL"/>
        </w:rPr>
        <w:t>Zaopatrzenie w ciepło zrealizowane zostanie poprzez zainstalowanie urządzeń zasilanych gazem</w:t>
      </w:r>
      <w:r>
        <w:t xml:space="preserve">. </w:t>
      </w:r>
    </w:p>
    <w:p w:rsidR="00BA0371" w:rsidRDefault="0020085B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Rozwiązania projektowe omawianego obiektu będą w znacznym </w:t>
      </w:r>
      <w:r>
        <w:rPr>
          <w:rFonts w:ascii="Times New Roman" w:hAnsi="Times New Roman" w:cs="Times New Roman"/>
        </w:rPr>
        <w:t>stopniu uwzględniać zabezpieczenie przed skutkami potencjalnych zmian warunków klimatycznych</w:t>
      </w:r>
      <w:r>
        <w:rPr>
          <w:rFonts w:ascii="Times New Roman" w:hAnsi="Times New Roman" w:cs="Times New Roman"/>
        </w:rPr>
        <w:br/>
        <w:t>i ewentualnego wystąpienia zdarzeń ekstremalnych (takich jak np. fale upałów, długotrwale susze, ekstremalne opady, zalewanie przez rzeki, gwałtowne burze i wiatry</w:t>
      </w:r>
      <w:r>
        <w:rPr>
          <w:rFonts w:ascii="Times New Roman" w:hAnsi="Times New Roman" w:cs="Times New Roman"/>
        </w:rPr>
        <w:t>, fale chłodu</w:t>
      </w:r>
      <w:r>
        <w:rPr>
          <w:rFonts w:ascii="Times New Roman" w:hAnsi="Times New Roman" w:cs="Times New Roman"/>
        </w:rPr>
        <w:br/>
        <w:t>i intensywne opady śniegu, zamarzanie i odmarzanie). Budynki inwentarskie zostaną wykonane jako murowane z ognioodpornych materiałów budowlanych. Minimalne wymagania techniczne przedsięwzięcia będą wynikały z przepisów odrębnych</w:t>
      </w:r>
      <w:r>
        <w:rPr>
          <w:rFonts w:ascii="Times New Roman" w:hAnsi="Times New Roman" w:cs="Times New Roman"/>
        </w:rPr>
        <w:br/>
        <w:t>(z uwzględnie</w:t>
      </w:r>
      <w:r>
        <w:rPr>
          <w:rFonts w:ascii="Times New Roman" w:hAnsi="Times New Roman" w:cs="Times New Roman"/>
        </w:rPr>
        <w:t xml:space="preserve">niem dodatkowych wymagań dla budowli rolniczych). </w:t>
      </w:r>
    </w:p>
    <w:p w:rsidR="00BA0371" w:rsidRDefault="0020085B">
      <w:pPr>
        <w:ind w:firstLine="708"/>
        <w:jc w:val="both"/>
      </w:pPr>
      <w:r>
        <w:t>Inwestycję zlokalizowano na terenie korzystnym z uwagi na minimalne ryzyko możliwości występowania zdarzeń ekstremalnych związanych z klimatem, w szczególności poza obszarami zagrożenia powodziowego.</w:t>
      </w:r>
    </w:p>
    <w:p w:rsidR="00BA0371" w:rsidRDefault="0020085B">
      <w:pPr>
        <w:ind w:firstLine="708"/>
        <w:jc w:val="both"/>
      </w:pPr>
      <w:r>
        <w:t xml:space="preserve">Woda </w:t>
      </w:r>
      <w:r>
        <w:t>na potrzeby pojenia zwierząt oraz do celów socjalno – bytowych dostarczana będzie z wodociągu gminnego. Woda używana do celów technologicznych (pojenie) będzie podawana przez poidła specjalnej konstrukcji w celu ograniczania jej zużycia i rozlewania.</w:t>
      </w:r>
    </w:p>
    <w:p w:rsidR="00BA0371" w:rsidRDefault="0020085B">
      <w:pPr>
        <w:ind w:firstLine="709"/>
        <w:jc w:val="both"/>
      </w:pPr>
      <w:r>
        <w:t>Ściek</w:t>
      </w:r>
      <w:r>
        <w:t xml:space="preserve">i socjalno-bytowe odprowadzane zostaną, tak jak dotychczas do przydomowej oczyszczalni ścieków. </w:t>
      </w:r>
    </w:p>
    <w:p w:rsidR="00BA0371" w:rsidRDefault="0020085B">
      <w:pPr>
        <w:ind w:firstLine="708"/>
        <w:jc w:val="both"/>
      </w:pPr>
      <w:r>
        <w:t>Zgodnie z informacjami zawartymi w raporcie, Inwestor przewiduje możliwość zastosowania systemu zraszania kurników, w okresie wysokich temperatur. Woda rozpras</w:t>
      </w:r>
      <w:r>
        <w:t xml:space="preserve">zana podczas chłodzenia pomieszczeń kurnika przez dysze, będzie ulegała odparowaniu. </w:t>
      </w:r>
    </w:p>
    <w:p w:rsidR="00BA0371" w:rsidRDefault="0020085B">
      <w:pPr>
        <w:ind w:firstLine="709"/>
        <w:jc w:val="both"/>
      </w:pPr>
      <w:r>
        <w:rPr>
          <w:spacing w:val="2"/>
        </w:rPr>
        <w:t>Zanieczyszczone wody powstające podczas mycia obiektów inwentarskich</w:t>
      </w:r>
      <w:r>
        <w:t xml:space="preserve">, odprowadzane będą do szczelnych osadników wybieralnych, skąd z uwagi na to samo źródło pochodzenia, </w:t>
      </w:r>
      <w:r>
        <w:t>będą transportowane na płyty obornikowe (istniejącą oraz planowaną), połączone ze zbiornikiem na odcieki, na którą wcześniej usunięty obornik, a następnie wspólnie z obornikiem oraz pochodzącym z nie</w:t>
      </w:r>
      <w:r>
        <w:softHyphen/>
        <w:t>go, zgromadzonym w zbiorniku ewentualnym odciekiem zagos</w:t>
      </w:r>
      <w:r>
        <w:t>podarowywane jako na</w:t>
      </w:r>
      <w:r>
        <w:softHyphen/>
        <w:t>wóz naturalny.</w:t>
      </w:r>
      <w:r>
        <w:rPr>
          <w:lang w:eastAsia="pl-PL"/>
        </w:rPr>
        <w:t xml:space="preserve"> Wykorzystanie rolnicze ścieków pochodzących  z higienizacji budynków inwentarskich odbywać się będzie w sposób</w:t>
      </w:r>
      <w:r>
        <w:rPr>
          <w:lang w:eastAsia="pl-PL"/>
        </w:rPr>
        <w:br/>
        <w:t xml:space="preserve">i na zasadach określonych w przepisach ww. </w:t>
      </w:r>
      <w:r>
        <w:t>ustawy o nawozach i nawożeniu.</w:t>
      </w:r>
    </w:p>
    <w:p w:rsidR="00BA0371" w:rsidRDefault="0020085B">
      <w:pPr>
        <w:tabs>
          <w:tab w:val="left" w:pos="340"/>
          <w:tab w:val="left" w:pos="680"/>
        </w:tabs>
        <w:ind w:firstLine="567"/>
        <w:contextualSpacing/>
        <w:jc w:val="both"/>
      </w:pPr>
      <w:r>
        <w:tab/>
        <w:t xml:space="preserve">Wody opadowe i roztopowe z połaci </w:t>
      </w:r>
      <w:r>
        <w:t xml:space="preserve">dachowych będą odprowadzane spływem powierzchniowym na przyległe tereny zielone. </w:t>
      </w:r>
    </w:p>
    <w:p w:rsidR="00BA0371" w:rsidRDefault="0020085B">
      <w:pPr>
        <w:jc w:val="both"/>
      </w:pPr>
      <w:r>
        <w:tab/>
        <w:t xml:space="preserve">Przedmiotowe zamierzenie zlokalizowane zostanie w obszarze dorzecza Wisły, zgodnie z rozporządzeniem </w:t>
      </w:r>
      <w:r>
        <w:rPr>
          <w:lang w:eastAsia="pl-PL"/>
        </w:rPr>
        <w:t>Rady Ministrów z dnia 18 października 2016 r. w sprawie Planu gospodarow</w:t>
      </w:r>
      <w:r>
        <w:rPr>
          <w:lang w:eastAsia="pl-PL"/>
        </w:rPr>
        <w:t xml:space="preserve">ania wodami na obszarze </w:t>
      </w:r>
      <w:r>
        <w:rPr>
          <w:iCs/>
          <w:lang w:eastAsia="pl-PL"/>
        </w:rPr>
        <w:t xml:space="preserve">dorzecza Wisły (Dz. U. z 2016 r., poz. 1911). </w:t>
      </w:r>
      <w:r>
        <w:t xml:space="preserve"> Znajduje się ono w obszarze jednolitej części wód podziemnych oznaczonym europejskim kodem </w:t>
      </w:r>
      <w:r>
        <w:rPr>
          <w:bCs/>
        </w:rPr>
        <w:t>PLGW200047</w:t>
      </w:r>
      <w:r>
        <w:t xml:space="preserve">, zaliczonym do regionu wodnego </w:t>
      </w:r>
      <w:r>
        <w:rPr>
          <w:bCs/>
        </w:rPr>
        <w:t>Środkowej Wisły</w:t>
      </w:r>
      <w:r>
        <w:t>. Na potrzeby aktualizacji ww. Planu,</w:t>
      </w:r>
      <w:r>
        <w:t xml:space="preserve"> zgodnie z rozporządzeniem Ministra środowiska z dnia 21 grudnia 2015 r.</w:t>
      </w:r>
      <w:r>
        <w:br/>
        <w:t>w sprawie kryteriów i sposobu oceny stanu jednolitych części wód podziemnych (Dz. U.</w:t>
      </w:r>
      <w:r>
        <w:br/>
        <w:t xml:space="preserve">z 2016 r. poz. 85), stan ilościowy i chemiczny tej JCWPd oceniono jako </w:t>
      </w:r>
      <w:r>
        <w:rPr>
          <w:bCs/>
        </w:rPr>
        <w:t>dobry</w:t>
      </w:r>
      <w:r>
        <w:t>. Rozpatrywana jednoli</w:t>
      </w:r>
      <w:r>
        <w:t xml:space="preserve">ta część wód podziemnych jest </w:t>
      </w:r>
      <w:r>
        <w:rPr>
          <w:bCs/>
        </w:rPr>
        <w:t>zagrożona</w:t>
      </w:r>
      <w:r>
        <w:t xml:space="preserve"> ryzykiem nieosiągnięcia celów środowiskowych, tj. utrzymania co najmniej dobrego stanu ilościowego i chemicznego wód podziemnych.</w:t>
      </w:r>
    </w:p>
    <w:p w:rsidR="00BA0371" w:rsidRDefault="0020085B">
      <w:pPr>
        <w:tabs>
          <w:tab w:val="left" w:pos="340"/>
          <w:tab w:val="left" w:pos="680"/>
        </w:tabs>
        <w:ind w:firstLine="567"/>
        <w:contextualSpacing/>
        <w:jc w:val="both"/>
      </w:pPr>
      <w:r>
        <w:t xml:space="preserve">Zamierzenie znajduje się w obszarze jednolitej części wód powierzchniowych oznaczonym </w:t>
      </w:r>
      <w:r>
        <w:t xml:space="preserve">europejskim kodem </w:t>
      </w:r>
      <w:r>
        <w:rPr>
          <w:bCs/>
        </w:rPr>
        <w:t>RW200017278569 - Kocieniec</w:t>
      </w:r>
      <w:r>
        <w:t xml:space="preserve">, zaliczonym do regionu wodnego </w:t>
      </w:r>
      <w:r>
        <w:rPr>
          <w:bCs/>
        </w:rPr>
        <w:t>Środkowej Wisły</w:t>
      </w:r>
      <w:r>
        <w:t>. Na potrzeby aktualizacji ww. Planu, zgodnie z rozporządzeniem Ministra Środowiska z dnia 9 listopada 2011 r. w sprawie klasyfikacji stanu ekologicznego, potencjału</w:t>
      </w:r>
      <w:r>
        <w:t xml:space="preserve"> ekologicznego i stanu chemicznego jednolitych części wód powierzchniowych (Dz. U. Nr 258, poz. 1549), ta JCWP posiada status </w:t>
      </w:r>
      <w:r>
        <w:rPr>
          <w:bCs/>
        </w:rPr>
        <w:t>naturalnej</w:t>
      </w:r>
      <w:r>
        <w:t xml:space="preserve"> części wód, której stan oceniono jako </w:t>
      </w:r>
      <w:r>
        <w:rPr>
          <w:bCs/>
        </w:rPr>
        <w:t>zły</w:t>
      </w:r>
      <w:r>
        <w:t xml:space="preserve">. Rozpatrywana jednolita część wód powierzchniowych jest </w:t>
      </w:r>
      <w:r>
        <w:rPr>
          <w:bCs/>
        </w:rPr>
        <w:t>zagrożona</w:t>
      </w:r>
      <w:r>
        <w:t xml:space="preserve"> ryzykiem ni</w:t>
      </w:r>
      <w:r>
        <w:t>eosiągnięcia celów środowiskowych, tj. osiągnięcia co najmniej dobrego stanu ekologicznego i co najmniej dobrego stanu chemicznego wód powierzchniowych. Z uwagi</w:t>
      </w:r>
      <w:r>
        <w:br/>
        <w:t xml:space="preserve">na występującą w zlewni presję rolniczą, zaplanowano derogację. </w:t>
      </w:r>
      <w:r>
        <w:rPr>
          <w:bCs/>
        </w:rPr>
        <w:t>W programie działań zaplanowano</w:t>
      </w:r>
      <w:r>
        <w:rPr>
          <w:bCs/>
        </w:rPr>
        <w:t xml:space="preserve"> wszystkie możliwe działania mające na celu ograniczenie tej presji tak,</w:t>
      </w:r>
      <w:r>
        <w:rPr>
          <w:bCs/>
        </w:rPr>
        <w:br/>
        <w:t>aby możliwe było osiągnięcie wskaźników zgodnych z wartościami dobrego stanu. Z uwagi jednak na czas niezbędny dla wdrożenia działań, a także okres niezbędny, aby wdrożone działania p</w:t>
      </w:r>
      <w:r>
        <w:rPr>
          <w:bCs/>
        </w:rPr>
        <w:t>rzyniosły wymierne efekty, dobry stan będzie mógł być osiągnięty do roku 2027.</w:t>
      </w:r>
    </w:p>
    <w:p w:rsidR="00BA0371" w:rsidRDefault="0020085B">
      <w:pPr>
        <w:tabs>
          <w:tab w:val="left" w:pos="340"/>
          <w:tab w:val="left" w:pos="680"/>
        </w:tabs>
        <w:ind w:firstLine="567"/>
        <w:contextualSpacing/>
        <w:jc w:val="both"/>
      </w:pPr>
      <w:r>
        <w:t>Prowadzony na fermie chów drobiu będzie odbywał się wyłącznie w obrębie zamkniętych budynków inwentarskich. Obiekty będą posiadać szczelne, pełne betonowe podłogi. Planowane bud</w:t>
      </w:r>
      <w:r>
        <w:t>ynki będą posiadały uporządkowaną gospodarkę wodno-ściekową.</w:t>
      </w:r>
    </w:p>
    <w:p w:rsidR="00BA0371" w:rsidRDefault="0020085B">
      <w:pPr>
        <w:tabs>
          <w:tab w:val="left" w:pos="340"/>
          <w:tab w:val="left" w:pos="680"/>
        </w:tabs>
        <w:ind w:firstLine="567"/>
        <w:contextualSpacing/>
        <w:jc w:val="both"/>
      </w:pPr>
      <w:r>
        <w:t>Dla budynków inwentarskich planuje się szczelną kanalizację sanitarną</w:t>
      </w:r>
      <w:r>
        <w:br/>
        <w:t>i technologiczną.</w:t>
      </w:r>
    </w:p>
    <w:p w:rsidR="00BA0371" w:rsidRDefault="0020085B">
      <w:pPr>
        <w:tabs>
          <w:tab w:val="left" w:pos="340"/>
          <w:tab w:val="left" w:pos="680"/>
        </w:tabs>
        <w:ind w:firstLine="567"/>
        <w:contextualSpacing/>
        <w:jc w:val="both"/>
      </w:pPr>
      <w:r>
        <w:t xml:space="preserve">Prawidłowa eksploatacja zamierzenia nie spowoduje zmian jakościowych wód powierzchniowych. Ze względu na </w:t>
      </w:r>
      <w:r>
        <w:t>pobór wody z istniejącej sieci wodociągowej i prawidłową gospodarkę nawozową, nie wystąpi zanieczyszczenie środowiska wodnego ściekami</w:t>
      </w:r>
    </w:p>
    <w:p w:rsidR="00BA0371" w:rsidRDefault="0020085B">
      <w:pPr>
        <w:pStyle w:val="NormalnyWeb"/>
        <w:spacing w:before="0" w:after="0"/>
        <w:ind w:firstLine="708"/>
        <w:jc w:val="both"/>
      </w:pPr>
      <w:r>
        <w:t>Teren gospodarstwa nie jest położony w granicach obszaru szczególnie narażonego,</w:t>
      </w:r>
      <w:r>
        <w:br/>
        <w:t>z którego należy ograniczyć odpływ azotu</w:t>
      </w:r>
      <w:r>
        <w:t xml:space="preserve"> ze źródeł rolniczych do wód powierzchniowych</w:t>
      </w:r>
      <w:r>
        <w:br/>
        <w:t>i podziemnych wrażliwych na zanieczyszczenia związkami azotu ze źródeł rolniczych (OSN).</w:t>
      </w:r>
    </w:p>
    <w:p w:rsidR="00BA0371" w:rsidRDefault="0020085B">
      <w:pPr>
        <w:ind w:firstLine="567"/>
        <w:jc w:val="both"/>
      </w:pPr>
      <w:r>
        <w:t>Ze względu na zakres, rodzaj i lokalizację, planowana inwestycja nie powinna wpłynąć negatywnie na obecnie występujący st</w:t>
      </w:r>
      <w:r>
        <w:t>an ekologiczny JCWP i cele środowiskowe wskazane</w:t>
      </w:r>
      <w:r>
        <w:br/>
        <w:t>w ww. Planie gospodarowania wodami na obszarze dorzecza Wisły.</w:t>
      </w:r>
    </w:p>
    <w:p w:rsidR="00BA0371" w:rsidRDefault="0020085B">
      <w:pPr>
        <w:ind w:firstLine="708"/>
        <w:jc w:val="both"/>
      </w:pPr>
      <w:r>
        <w:t>Teren przeznaczony pod inwestycję dotychczas był użytkowany rolniczo (uprawa jęczmienia). Analizowana inwestycja nie będzie miała wpływu na zmia</w:t>
      </w:r>
      <w:r>
        <w:t>ny w różnorodności biologicznej, w obrębie terenu przewidzianego do przekształcenia nie występują miejsca gniazdowania ptaków oraz ostoje zwierząt naziemnych. Z planowaną budową nie kolidują żadne drzewa i krzewy, które wymagałyby wycinki. Na terenie dział</w:t>
      </w:r>
      <w:r>
        <w:t>ki Inwestora</w:t>
      </w:r>
      <w:r>
        <w:br/>
        <w:t xml:space="preserve">nie występują cenne siedliska roślin i zwierząt, które podlegają ochronie. </w:t>
      </w:r>
    </w:p>
    <w:p w:rsidR="00BA0371" w:rsidRDefault="0020085B">
      <w:pPr>
        <w:ind w:firstLine="708"/>
        <w:jc w:val="both"/>
      </w:pPr>
      <w:r>
        <w:t>W sąsiedztwie przedsięwzięcia nie znajdują się obszary podlegające ochronie</w:t>
      </w:r>
      <w:r>
        <w:br/>
        <w:t>na postawie ustawy z dnia 16 kwietnia 2004 r. o ochronie przyrody (Dz.U. z 2016 r.,</w:t>
      </w:r>
      <w:r>
        <w:br/>
      </w:r>
      <w:r>
        <w:t xml:space="preserve">poz. 2134 ze zm), na które realizacja przedsięwzięcia mogłaby oddziaływać. Najbliżej zlokalizowany jest obszar Natura 2000 Słone Łąki w Dolinie Zgłowiączki PLH040037 (w odległości 5,4 km), na które przedmiotowa inwestycja nie będzie miała wpływu. </w:t>
      </w:r>
    </w:p>
    <w:p w:rsidR="00BA0371" w:rsidRDefault="0020085B">
      <w:pPr>
        <w:ind w:firstLine="708"/>
        <w:jc w:val="both"/>
      </w:pPr>
      <w:r>
        <w:t xml:space="preserve">Z uwagi </w:t>
      </w:r>
      <w:r>
        <w:t>na lokalizację, skalę i charakter planowanej inwestycji oraz dotychczasowy sposób użytkowania analizowanego terenu, przeprowadzona procedura oceny oddziaływania na środowisko wykazała brak znacząco negatywnego oddziaływania na środowisko</w:t>
      </w:r>
      <w:r>
        <w:br/>
        <w:t>w zakresie ochrony</w:t>
      </w:r>
      <w:r>
        <w:t xml:space="preserve"> przyrody.</w:t>
      </w:r>
    </w:p>
    <w:p w:rsidR="00BA0371" w:rsidRDefault="0020085B">
      <w:pPr>
        <w:pStyle w:val="NormalnyWeb"/>
        <w:spacing w:before="0" w:after="0"/>
        <w:ind w:firstLine="709"/>
        <w:jc w:val="both"/>
      </w:pPr>
      <w:r>
        <w:t>Odnośnie ryzyka wystąpienia poważnej awarii, należy zaznaczyć, że przedsięwzięcie nie będzie realizowane na terenie zakładu o zwiększonym ryzyku wystąpienia poważnej awarii przemysłowej oraz zakładu o dużym ryzyku wystąpienia poważnej awarii prz</w:t>
      </w:r>
      <w:r>
        <w:t>emysłowej, w myśl rozporządzenia Ministra Rozwoju z dnia 29 stycznia 2016 r. w sprawie rodzajów i ilości znajdujących się w zakładzie substancji niebezpiecznych, decydujących</w:t>
      </w:r>
      <w:r>
        <w:br/>
        <w:t>o zaliczeniu zakładu do zakładu o zwiększonym lub dużym ryzyku wystąpienia poważn</w:t>
      </w:r>
      <w:r>
        <w:t>ej awarii przemysłowej (Dz. U. z 2016 r., poz. 138 j.t.).</w:t>
      </w:r>
    </w:p>
    <w:p w:rsidR="00BA0371" w:rsidRDefault="0020085B">
      <w:pPr>
        <w:pStyle w:val="NormalnyWeb"/>
        <w:spacing w:before="0" w:after="0"/>
        <w:ind w:firstLine="708"/>
        <w:jc w:val="both"/>
        <w:rPr>
          <w:color w:val="000000"/>
          <w:highlight w:val="white"/>
        </w:rPr>
      </w:pPr>
      <w:r>
        <w:rPr>
          <w:color w:val="000000"/>
          <w:shd w:val="clear" w:color="auto" w:fill="FFFFFF"/>
        </w:rPr>
        <w:t>W związku z planowanym zamierzeniem, nie stwierdzono konieczności przeprowadzania ponownej oceny oddziaływania na środowisko, w ramach postępowania</w:t>
      </w:r>
      <w:r>
        <w:rPr>
          <w:color w:val="000000"/>
          <w:shd w:val="clear" w:color="auto" w:fill="FFFFFF"/>
        </w:rPr>
        <w:br/>
        <w:t>w sprawie wydania decyzji, o których mowa w art. 8</w:t>
      </w:r>
      <w:r>
        <w:rPr>
          <w:color w:val="000000"/>
          <w:shd w:val="clear" w:color="auto" w:fill="FFFFFF"/>
        </w:rPr>
        <w:t>8 ust. 1 cyt. ustawy z dnia 3 października 2008 r. o udostępnianiu informacji o środowisku i jego ochronie, udziale społeczeństwa</w:t>
      </w:r>
      <w:r>
        <w:rPr>
          <w:color w:val="000000"/>
          <w:shd w:val="clear" w:color="auto" w:fill="FFFFFF"/>
        </w:rPr>
        <w:br/>
        <w:t>w ochronie środowiska oraz o ocenach oddziaływania na środowisko, pod warunkiem jednak, że we wniosku o wydanie ww. decyzji ni</w:t>
      </w:r>
      <w:r>
        <w:rPr>
          <w:color w:val="000000"/>
          <w:shd w:val="clear" w:color="auto" w:fill="FFFFFF"/>
        </w:rPr>
        <w:t>e zostaną dokonane zmiany w stosunku do wymagań określonych w decyzji o środowiskowych uwarunkowaniach oraz w raporcie o oddziaływaniu na środowisko. Ponadto, ze względu na lokalizację w dużej odległości od granic państwa oraz zakres oddziaływania inwestyc</w:t>
      </w:r>
      <w:r>
        <w:rPr>
          <w:color w:val="000000"/>
          <w:shd w:val="clear" w:color="auto" w:fill="FFFFFF"/>
        </w:rPr>
        <w:t>ji nie stwierdzono konieczności przeprowadzenia postępowania w sprawie transgranicznego oddziaływania na środowisko.</w:t>
      </w:r>
    </w:p>
    <w:p w:rsidR="00BA0371" w:rsidRDefault="0020085B">
      <w:pPr>
        <w:ind w:firstLine="708"/>
        <w:jc w:val="both"/>
      </w:pPr>
      <w:r>
        <w:rPr>
          <w:lang w:eastAsia="pl-PL"/>
        </w:rPr>
        <w:t xml:space="preserve">W związku z powyższym, uwzględniając charakter przedmiotowej inwestycji, </w:t>
      </w:r>
      <w:r>
        <w:rPr>
          <w:color w:val="000000"/>
        </w:rPr>
        <w:t>możliwe zagrożenia dla środowiska związane przede wszystkim z emis</w:t>
      </w:r>
      <w:r>
        <w:rPr>
          <w:color w:val="000000"/>
        </w:rPr>
        <w:t>ją substancji złowonnych oraz generowaniem hałasu, jak również rodzaj i skalę możliwego oddziaływania, a także</w:t>
      </w:r>
      <w:r>
        <w:rPr>
          <w:lang w:eastAsia="pl-PL"/>
        </w:rPr>
        <w:t xml:space="preserve"> planowane rozwiązania techniczne i technologiczne stwierdzono, że omawiane zamierzenie, przy uwzględnieniu warunków eksploatacji przedsięwzięcia </w:t>
      </w:r>
      <w:r>
        <w:rPr>
          <w:lang w:eastAsia="pl-PL"/>
        </w:rPr>
        <w:t>wyrażonych</w:t>
      </w:r>
      <w:r>
        <w:rPr>
          <w:lang w:eastAsia="pl-PL"/>
        </w:rPr>
        <w:br/>
        <w:t>w sentencji</w:t>
      </w:r>
      <w:r>
        <w:rPr>
          <w:shd w:val="clear" w:color="auto" w:fill="FFFFFF"/>
          <w:lang w:eastAsia="pl-PL"/>
        </w:rPr>
        <w:t>, nie wpłynie negatywnie na środowisko.</w:t>
      </w:r>
    </w:p>
    <w:p w:rsidR="00BA0371" w:rsidRDefault="0020085B">
      <w:pPr>
        <w:ind w:firstLine="708"/>
        <w:jc w:val="both"/>
      </w:pPr>
      <w:r>
        <w:t>Z punktu widzenia standardów jakości środowiska, w raporcie wykazano,</w:t>
      </w:r>
      <w:r>
        <w:br/>
        <w:t>że na podstawie przyjętych przez autora raportu założeń będą one zachowane. Natomiast</w:t>
      </w:r>
      <w:r>
        <w:br/>
        <w:t>to, czy będą one faktycznie dotrzymane</w:t>
      </w:r>
      <w:r>
        <w:t xml:space="preserve"> (będą realnie występować) ma potwierdzić analiza porealizacyjna, której celem jest zweryfikowanie oddziaływań oraz efektywności środków </w:t>
      </w:r>
      <w:r>
        <w:rPr>
          <w:color w:val="000000"/>
          <w:lang w:eastAsia="pl-PL"/>
        </w:rPr>
        <w:t>łagodzących w kontekście wartości granicznych (przewidzianych przepisami prawa). Mając powyższe na względzie oraz z uwa</w:t>
      </w:r>
      <w:r>
        <w:rPr>
          <w:color w:val="000000"/>
          <w:lang w:eastAsia="pl-PL"/>
        </w:rPr>
        <w:t xml:space="preserve">gi na skalę przedsięwzięcia </w:t>
      </w:r>
      <w:r>
        <w:rPr>
          <w:lang w:eastAsia="pl-PL"/>
        </w:rPr>
        <w:t>stwierdzono,</w:t>
      </w:r>
      <w:r>
        <w:rPr>
          <w:lang w:eastAsia="pl-PL"/>
        </w:rPr>
        <w:br/>
        <w:t xml:space="preserve">że dla przedmiotowego przedsięwzięcia sporządzenie analizy porealizacyjnej jest uzasadnione. </w:t>
      </w:r>
    </w:p>
    <w:p w:rsidR="00BA0371" w:rsidRDefault="00BA0371">
      <w:pPr>
        <w:jc w:val="center"/>
        <w:rPr>
          <w:highlight w:val="white"/>
          <w:lang w:eastAsia="pl-PL"/>
        </w:rPr>
      </w:pPr>
    </w:p>
    <w:p w:rsidR="00BA0371" w:rsidRDefault="0020085B">
      <w:pPr>
        <w:jc w:val="center"/>
        <w:rPr>
          <w:highlight w:val="white"/>
          <w:lang w:eastAsia="pl-PL"/>
        </w:rPr>
      </w:pPr>
      <w:r>
        <w:rPr>
          <w:shd w:val="clear" w:color="auto" w:fill="FFFFFF"/>
          <w:lang w:eastAsia="pl-PL"/>
        </w:rPr>
        <w:t>POUCZENIE</w:t>
      </w:r>
    </w:p>
    <w:p w:rsidR="00BA0371" w:rsidRDefault="00BA0371">
      <w:pPr>
        <w:jc w:val="center"/>
        <w:rPr>
          <w:sz w:val="16"/>
          <w:szCs w:val="16"/>
          <w:shd w:val="clear" w:color="auto" w:fill="FFFFFF"/>
          <w:lang w:eastAsia="pl-PL"/>
        </w:rPr>
      </w:pPr>
    </w:p>
    <w:p w:rsidR="00BA0371" w:rsidRDefault="0020085B">
      <w:pPr>
        <w:jc w:val="both"/>
      </w:pPr>
      <w:r>
        <w:rPr>
          <w:color w:val="000000"/>
          <w:shd w:val="clear" w:color="auto" w:fill="FFFFFF"/>
          <w:lang w:eastAsia="pl-PL"/>
        </w:rPr>
        <w:t xml:space="preserve">     W świetle art. 65 ust. 2  przywołanej ustawy o udostępnieniu informacji o środowisku i jego ochronie, ud</w:t>
      </w:r>
      <w:r>
        <w:rPr>
          <w:color w:val="000000"/>
          <w:shd w:val="clear" w:color="auto" w:fill="FFFFFF"/>
          <w:lang w:eastAsia="pl-PL"/>
        </w:rPr>
        <w:t>ziale społeczeństwa o ochronie środowiska oraz o ocenach oddziaływania na środowisko, na niniejsze postanowienie  przysługuje zażalenie  w terminie 7 dni od dnia doręczenia                   postanowienia stronie do Samorządowego Kolegium Odwoławczego we W</w:t>
      </w:r>
      <w:r>
        <w:rPr>
          <w:color w:val="000000"/>
          <w:shd w:val="clear" w:color="auto" w:fill="FFFFFF"/>
          <w:lang w:eastAsia="pl-PL"/>
        </w:rPr>
        <w:t>łocławku za pośrednictwem Wójta Gminy Boniewo.</w:t>
      </w:r>
    </w:p>
    <w:p w:rsidR="00BA0371" w:rsidRDefault="0020085B">
      <w:pPr>
        <w:jc w:val="both"/>
      </w:pPr>
      <w:r>
        <w:rPr>
          <w:sz w:val="22"/>
          <w:szCs w:val="22"/>
          <w:lang w:eastAsia="pl-PL"/>
        </w:rPr>
        <w:t xml:space="preserve">                                                                                       </w:t>
      </w:r>
    </w:p>
    <w:p w:rsidR="00BA0371" w:rsidRDefault="0020085B">
      <w:pPr>
        <w:rPr>
          <w:u w:val="single"/>
        </w:rPr>
      </w:pPr>
      <w:r>
        <w:rPr>
          <w:color w:val="000000"/>
          <w:u w:val="single"/>
          <w:lang w:eastAsia="pl-PL"/>
        </w:rPr>
        <w:t>Otrzymują:</w:t>
      </w:r>
    </w:p>
    <w:p w:rsidR="00BA0371" w:rsidRDefault="0020085B">
      <w:r>
        <w:rPr>
          <w:color w:val="000000"/>
          <w:lang w:eastAsia="pl-PL"/>
        </w:rPr>
        <w:t>1. Pan Waldemar Kowalski zamieszkały Sułkówek 5,</w:t>
      </w:r>
    </w:p>
    <w:p w:rsidR="00BA0371" w:rsidRDefault="0020085B">
      <w:r>
        <w:rPr>
          <w:color w:val="000000"/>
          <w:lang w:eastAsia="pl-PL"/>
        </w:rPr>
        <w:t xml:space="preserve">    87-851 Boniewo,</w:t>
      </w:r>
    </w:p>
    <w:p w:rsidR="00BA0371" w:rsidRDefault="0020085B">
      <w:r>
        <w:rPr>
          <w:rFonts w:ascii="Times New Roman" w:hAnsi="Times New Roman" w:cs="Times New Roman"/>
          <w:color w:val="000000"/>
          <w:spacing w:val="2"/>
          <w:lang w:eastAsia="pl-PL"/>
        </w:rPr>
        <w:t>2.</w:t>
      </w:r>
      <w:r>
        <w:rPr>
          <w:rFonts w:ascii="Times New Roman" w:hAnsi="Times New Roman" w:cs="Times New Roman"/>
          <w:spacing w:val="2"/>
        </w:rPr>
        <w:t xml:space="preserve"> Gmina Boniewo, ul. Szkolna 28, 87-851 </w:t>
      </w:r>
      <w:r>
        <w:rPr>
          <w:rFonts w:ascii="Times New Roman" w:hAnsi="Times New Roman" w:cs="Times New Roman"/>
          <w:spacing w:val="2"/>
        </w:rPr>
        <w:t>Boniewo.</w:t>
      </w:r>
    </w:p>
    <w:p w:rsidR="00BA0371" w:rsidRDefault="00BA0371">
      <w:pPr>
        <w:rPr>
          <w:rFonts w:ascii="Times New Roman" w:hAnsi="Times New Roman" w:cs="Times New Roman"/>
          <w:spacing w:val="2"/>
        </w:rPr>
      </w:pPr>
    </w:p>
    <w:p w:rsidR="00BA0371" w:rsidRDefault="0020085B">
      <w:r>
        <w:rPr>
          <w:rFonts w:ascii="Times New Roman" w:hAnsi="Times New Roman" w:cs="Times New Roman"/>
          <w:spacing w:val="2"/>
          <w:u w:val="single"/>
        </w:rPr>
        <w:t xml:space="preserve">Otrzymuja do wiadomości </w:t>
      </w:r>
      <w:r>
        <w:rPr>
          <w:rFonts w:ascii="Times New Roman" w:hAnsi="Times New Roman" w:cs="Times New Roman"/>
          <w:spacing w:val="2"/>
        </w:rPr>
        <w:t>:</w:t>
      </w:r>
    </w:p>
    <w:p w:rsidR="00BA0371" w:rsidRDefault="0020085B">
      <w:r>
        <w:rPr>
          <w:rFonts w:ascii="Times New Roman" w:hAnsi="Times New Roman" w:cs="Times New Roman"/>
          <w:spacing w:val="2"/>
        </w:rPr>
        <w:t>1. Regionalna Dyrekcja Ochrony  Środowiska</w:t>
      </w:r>
    </w:p>
    <w:p w:rsidR="00BA0371" w:rsidRDefault="0020085B">
      <w:r>
        <w:rPr>
          <w:rFonts w:ascii="Times New Roman" w:hAnsi="Times New Roman" w:cs="Times New Roman"/>
          <w:spacing w:val="2"/>
        </w:rPr>
        <w:t xml:space="preserve">    ul. Dworcowa 81, 85-009 Bydgoszcz,</w:t>
      </w:r>
    </w:p>
    <w:p w:rsidR="00BA0371" w:rsidRDefault="0020085B">
      <w:r>
        <w:rPr>
          <w:rFonts w:ascii="Times New Roman" w:hAnsi="Times New Roman" w:cs="Times New Roman"/>
          <w:spacing w:val="2"/>
        </w:rPr>
        <w:t>2. Państwowy Powiatowy Inspektor Sanitarny</w:t>
      </w:r>
    </w:p>
    <w:p w:rsidR="00BA0371" w:rsidRDefault="0020085B">
      <w:r>
        <w:rPr>
          <w:rFonts w:ascii="Times New Roman" w:hAnsi="Times New Roman" w:cs="Times New Roman"/>
          <w:spacing w:val="2"/>
        </w:rPr>
        <w:t xml:space="preserve">    we Włocławku, ul. Kilińskiego 14.</w:t>
      </w:r>
    </w:p>
    <w:p w:rsidR="00BA0371" w:rsidRDefault="0020085B">
      <w:r>
        <w:rPr>
          <w:rFonts w:ascii="Times New Roman" w:hAnsi="Times New Roman" w:cs="Times New Roman"/>
          <w:spacing w:val="2"/>
        </w:rPr>
        <w:t xml:space="preserve">3. strona internetowa </w:t>
      </w:r>
      <w:hyperlink r:id="rId7">
        <w:r>
          <w:rPr>
            <w:rStyle w:val="czeinternetowe"/>
            <w:rFonts w:ascii="Times New Roman" w:hAnsi="Times New Roman" w:cs="Times New Roman"/>
            <w:spacing w:val="2"/>
          </w:rPr>
          <w:t>www.bip.boniewo.pl</w:t>
        </w:r>
      </w:hyperlink>
    </w:p>
    <w:p w:rsidR="00BA0371" w:rsidRDefault="0020085B">
      <w:r>
        <w:rPr>
          <w:rFonts w:ascii="Times New Roman" w:hAnsi="Times New Roman" w:cs="Times New Roman"/>
          <w:spacing w:val="2"/>
        </w:rPr>
        <w:t>4. tablica ogłoszeń u Urzędzie Gminy Boniewo.</w:t>
      </w:r>
    </w:p>
    <w:p w:rsidR="00BA0371" w:rsidRDefault="00BA0371">
      <w:pPr>
        <w:rPr>
          <w:rFonts w:ascii="Times New Roman" w:hAnsi="Times New Roman" w:cs="Times New Roman"/>
          <w:spacing w:val="2"/>
        </w:rPr>
      </w:pPr>
    </w:p>
    <w:p w:rsidR="00BA0371" w:rsidRDefault="00BA0371"/>
    <w:sectPr w:rsidR="00BA037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PSMT;Times New Rom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5E06"/>
    <w:multiLevelType w:val="multilevel"/>
    <w:tmpl w:val="882EE08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000000"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3157430"/>
    <w:multiLevelType w:val="multilevel"/>
    <w:tmpl w:val="532C2D1A"/>
    <w:lvl w:ilvl="0">
      <w:start w:val="1"/>
      <w:numFmt w:val="bullet"/>
      <w:lvlText w:val=""/>
      <w:lvlJc w:val="left"/>
      <w:pPr>
        <w:ind w:left="1494" w:hanging="360"/>
      </w:pPr>
      <w:rPr>
        <w:rFonts w:ascii="Symbol" w:hAnsi="Symbol" w:cs="Symbol" w:hint="default"/>
        <w:color w:val="000000"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7B25BC1"/>
    <w:multiLevelType w:val="multilevel"/>
    <w:tmpl w:val="A80C49BA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pacing w:val="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3A435E9B"/>
    <w:multiLevelType w:val="multilevel"/>
    <w:tmpl w:val="5AFAA8F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41BA4363"/>
    <w:multiLevelType w:val="multilevel"/>
    <w:tmpl w:val="F544CA4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4"/>
        <w:szCs w:val="24"/>
        <w:lang w:eastAsia="pl-P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nsid w:val="462779E1"/>
    <w:multiLevelType w:val="multilevel"/>
    <w:tmpl w:val="E494C71C"/>
    <w:lvl w:ilvl="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76AB4025"/>
    <w:multiLevelType w:val="multilevel"/>
    <w:tmpl w:val="FDC62BB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76AD0CF1"/>
    <w:multiLevelType w:val="multilevel"/>
    <w:tmpl w:val="348A213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7FC61312"/>
    <w:multiLevelType w:val="multilevel"/>
    <w:tmpl w:val="AF8AED0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pacing w:val="2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371"/>
    <w:rsid w:val="0020085B"/>
    <w:rsid w:val="00BA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oto Sans CJK SC Regular" w:hAnsi="Liberation Serif" w:cs="FreeSans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WW8Num6z0">
    <w:name w:val="WW8Num6z0"/>
    <w:qFormat/>
    <w:rPr>
      <w:rFonts w:ascii="Symbol" w:hAnsi="Symbol" w:cs="Symbol"/>
      <w:spacing w:val="2"/>
      <w:sz w:val="24"/>
      <w:szCs w:val="24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Symbol" w:hAnsi="Symbol" w:cs="Symbol"/>
      <w:spacing w:val="2"/>
    </w:rPr>
  </w:style>
  <w:style w:type="character" w:customStyle="1" w:styleId="Domylnaczcionkaakapitu1">
    <w:name w:val="Domyślna czcionka akapitu1"/>
    <w:qFormat/>
  </w:style>
  <w:style w:type="character" w:customStyle="1" w:styleId="txt11">
    <w:name w:val="txt11"/>
    <w:basedOn w:val="Domylnaczcionkaakapitu1"/>
    <w:qFormat/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  <w:sz w:val="24"/>
      <w:szCs w:val="24"/>
    </w:rPr>
  </w:style>
  <w:style w:type="character" w:customStyle="1" w:styleId="WW8Num5z0">
    <w:name w:val="WW8Num5z0"/>
    <w:qFormat/>
    <w:rPr>
      <w:rFonts w:ascii="Symbol" w:hAnsi="Symbol" w:cs="Symbol"/>
      <w:color w:val="000000"/>
      <w:sz w:val="24"/>
      <w:szCs w:val="24"/>
      <w:lang w:eastAsia="pl-PL"/>
    </w:rPr>
  </w:style>
  <w:style w:type="character" w:customStyle="1" w:styleId="WW8Num15z0">
    <w:name w:val="WW8Num15z0"/>
    <w:qFormat/>
    <w:rPr>
      <w:rFonts w:ascii="Symbol" w:hAnsi="Symbol" w:cs="Symbol"/>
      <w:color w:val="000000"/>
      <w:sz w:val="24"/>
      <w:szCs w:val="24"/>
      <w:lang w:eastAsia="pl-PL"/>
    </w:rPr>
  </w:style>
  <w:style w:type="character" w:customStyle="1" w:styleId="WW8Num12z0">
    <w:name w:val="WW8Num12z0"/>
    <w:qFormat/>
    <w:rPr>
      <w:rFonts w:ascii="Symbol" w:hAnsi="Symbol" w:cs="Symbol"/>
      <w:color w:val="000000"/>
      <w:sz w:val="20"/>
      <w:szCs w:val="24"/>
      <w:lang w:eastAsia="pl-PL"/>
    </w:rPr>
  </w:style>
  <w:style w:type="character" w:customStyle="1" w:styleId="WW8Num12z1">
    <w:name w:val="WW8Num12z1"/>
    <w:qFormat/>
    <w:rPr>
      <w:rFonts w:ascii="Courier New" w:hAnsi="Courier New" w:cs="Courier New"/>
      <w:sz w:val="20"/>
    </w:rPr>
  </w:style>
  <w:style w:type="character" w:customStyle="1" w:styleId="WW8Num12z2">
    <w:name w:val="WW8Num12z2"/>
    <w:qFormat/>
    <w:rPr>
      <w:rFonts w:ascii="Wingdings" w:hAnsi="Wingdings" w:cs="Wingdings"/>
      <w:sz w:val="20"/>
    </w:rPr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ListLabel1">
    <w:name w:val="ListLabel 1"/>
    <w:qFormat/>
    <w:rPr>
      <w:rFonts w:cs="Symbol"/>
      <w:spacing w:val="2"/>
      <w:sz w:val="24"/>
      <w:szCs w:val="24"/>
    </w:rPr>
  </w:style>
  <w:style w:type="character" w:customStyle="1" w:styleId="ListLabel2">
    <w:name w:val="ListLabel 2"/>
    <w:qFormat/>
    <w:rPr>
      <w:rFonts w:cs="Symbol"/>
      <w:sz w:val="24"/>
    </w:rPr>
  </w:style>
  <w:style w:type="character" w:customStyle="1" w:styleId="ListLabel3">
    <w:name w:val="ListLabel 3"/>
    <w:qFormat/>
    <w:rPr>
      <w:rFonts w:cs="Symbol"/>
      <w:spacing w:val="2"/>
    </w:rPr>
  </w:style>
  <w:style w:type="character" w:customStyle="1" w:styleId="ListLabel4">
    <w:name w:val="ListLabel 4"/>
    <w:qFormat/>
    <w:rPr>
      <w:rFonts w:cs="Symbol"/>
      <w:sz w:val="24"/>
    </w:rPr>
  </w:style>
  <w:style w:type="character" w:customStyle="1" w:styleId="ListLabel5">
    <w:name w:val="ListLabel 5"/>
    <w:qFormat/>
    <w:rPr>
      <w:rFonts w:cs="Symbol"/>
      <w:sz w:val="24"/>
      <w:szCs w:val="24"/>
    </w:rPr>
  </w:style>
  <w:style w:type="character" w:customStyle="1" w:styleId="ListLabel6">
    <w:name w:val="ListLabel 6"/>
    <w:qFormat/>
    <w:rPr>
      <w:rFonts w:cs="Symbol"/>
      <w:color w:val="000000"/>
      <w:sz w:val="24"/>
      <w:szCs w:val="24"/>
      <w:lang w:eastAsia="pl-PL"/>
    </w:rPr>
  </w:style>
  <w:style w:type="character" w:customStyle="1" w:styleId="ListLabel7">
    <w:name w:val="ListLabel 7"/>
    <w:qFormat/>
    <w:rPr>
      <w:rFonts w:cs="Symbol"/>
      <w:color w:val="000000"/>
      <w:sz w:val="24"/>
      <w:szCs w:val="24"/>
      <w:lang w:eastAsia="pl-PL"/>
    </w:rPr>
  </w:style>
  <w:style w:type="character" w:customStyle="1" w:styleId="ListLabel8">
    <w:name w:val="ListLabel 8"/>
    <w:qFormat/>
    <w:rPr>
      <w:rFonts w:cs="Symbol"/>
      <w:color w:val="000000"/>
      <w:sz w:val="24"/>
      <w:szCs w:val="24"/>
      <w:lang w:eastAsia="pl-PL"/>
    </w:rPr>
  </w:style>
  <w:style w:type="character" w:customStyle="1" w:styleId="ListLabel9">
    <w:name w:val="ListLabel 9"/>
    <w:qFormat/>
    <w:rPr>
      <w:rFonts w:cs="Courier New"/>
      <w:sz w:val="20"/>
    </w:rPr>
  </w:style>
  <w:style w:type="character" w:customStyle="1" w:styleId="ListLabel10">
    <w:name w:val="ListLabel 10"/>
    <w:qFormat/>
    <w:rPr>
      <w:rFonts w:cs="Wingdings"/>
      <w:sz w:val="20"/>
    </w:rPr>
  </w:style>
  <w:style w:type="character" w:customStyle="1" w:styleId="ListLabel11">
    <w:name w:val="ListLabel 11"/>
    <w:qFormat/>
    <w:rPr>
      <w:rFonts w:cs="Wingdings"/>
      <w:sz w:val="20"/>
    </w:rPr>
  </w:style>
  <w:style w:type="character" w:customStyle="1" w:styleId="ListLabel12">
    <w:name w:val="ListLabel 12"/>
    <w:qFormat/>
    <w:rPr>
      <w:rFonts w:cs="Wingdings"/>
      <w:sz w:val="20"/>
    </w:rPr>
  </w:style>
  <w:style w:type="character" w:customStyle="1" w:styleId="ListLabel13">
    <w:name w:val="ListLabel 13"/>
    <w:qFormat/>
    <w:rPr>
      <w:rFonts w:cs="Wingdings"/>
      <w:sz w:val="20"/>
    </w:rPr>
  </w:style>
  <w:style w:type="character" w:customStyle="1" w:styleId="ListLabel14">
    <w:name w:val="ListLabel 14"/>
    <w:qFormat/>
    <w:rPr>
      <w:rFonts w:cs="Wingdings"/>
      <w:sz w:val="20"/>
    </w:rPr>
  </w:style>
  <w:style w:type="character" w:customStyle="1" w:styleId="ListLabel15">
    <w:name w:val="ListLabel 15"/>
    <w:qFormat/>
    <w:rPr>
      <w:rFonts w:cs="Wingdings"/>
      <w:sz w:val="20"/>
    </w:rPr>
  </w:style>
  <w:style w:type="character" w:customStyle="1" w:styleId="ListLabel16">
    <w:name w:val="ListLabel 16"/>
    <w:qFormat/>
    <w:rPr>
      <w:rFonts w:cs="Wingdings"/>
      <w:sz w:val="20"/>
    </w:rPr>
  </w:style>
  <w:style w:type="character" w:customStyle="1" w:styleId="ListLabel17">
    <w:name w:val="ListLabel 17"/>
    <w:qFormat/>
    <w:rPr>
      <w:rFonts w:cs="Symbol"/>
      <w:spacing w:val="2"/>
      <w:sz w:val="24"/>
      <w:szCs w:val="24"/>
    </w:rPr>
  </w:style>
  <w:style w:type="character" w:customStyle="1" w:styleId="ListLabel18">
    <w:name w:val="ListLabel 18"/>
    <w:qFormat/>
    <w:rPr>
      <w:rFonts w:cs="Symbol"/>
      <w:sz w:val="24"/>
    </w:rPr>
  </w:style>
  <w:style w:type="character" w:customStyle="1" w:styleId="ListLabel19">
    <w:name w:val="ListLabel 19"/>
    <w:qFormat/>
    <w:rPr>
      <w:rFonts w:cs="Symbol"/>
      <w:spacing w:val="2"/>
    </w:rPr>
  </w:style>
  <w:style w:type="character" w:customStyle="1" w:styleId="ListLabel20">
    <w:name w:val="ListLabel 20"/>
    <w:qFormat/>
    <w:rPr>
      <w:rFonts w:cs="Symbol"/>
      <w:sz w:val="24"/>
    </w:rPr>
  </w:style>
  <w:style w:type="character" w:customStyle="1" w:styleId="ListLabel21">
    <w:name w:val="ListLabel 21"/>
    <w:qFormat/>
    <w:rPr>
      <w:rFonts w:cs="Symbol"/>
      <w:sz w:val="24"/>
      <w:szCs w:val="24"/>
    </w:rPr>
  </w:style>
  <w:style w:type="character" w:customStyle="1" w:styleId="ListLabel22">
    <w:name w:val="ListLabel 22"/>
    <w:qFormat/>
    <w:rPr>
      <w:rFonts w:cs="Symbol"/>
      <w:color w:val="000000"/>
      <w:sz w:val="24"/>
      <w:szCs w:val="24"/>
      <w:lang w:eastAsia="pl-PL"/>
    </w:rPr>
  </w:style>
  <w:style w:type="character" w:customStyle="1" w:styleId="ListLabel23">
    <w:name w:val="ListLabel 23"/>
    <w:qFormat/>
    <w:rPr>
      <w:rFonts w:cs="Symbol"/>
      <w:color w:val="000000"/>
      <w:sz w:val="24"/>
      <w:szCs w:val="24"/>
      <w:lang w:eastAsia="pl-PL"/>
    </w:rPr>
  </w:style>
  <w:style w:type="character" w:customStyle="1" w:styleId="ListLabel24">
    <w:name w:val="ListLabel 24"/>
    <w:qFormat/>
    <w:rPr>
      <w:rFonts w:cs="Symbol"/>
      <w:color w:val="000000"/>
      <w:sz w:val="24"/>
      <w:szCs w:val="24"/>
      <w:lang w:eastAsia="pl-PL"/>
    </w:rPr>
  </w:style>
  <w:style w:type="character" w:customStyle="1" w:styleId="ListLabel25">
    <w:name w:val="ListLabel 25"/>
    <w:qFormat/>
    <w:rPr>
      <w:rFonts w:cs="Courier New"/>
      <w:sz w:val="20"/>
    </w:rPr>
  </w:style>
  <w:style w:type="character" w:customStyle="1" w:styleId="ListLabel26">
    <w:name w:val="ListLabel 26"/>
    <w:qFormat/>
    <w:rPr>
      <w:rFonts w:cs="Wingdings"/>
      <w:sz w:val="20"/>
    </w:rPr>
  </w:style>
  <w:style w:type="character" w:customStyle="1" w:styleId="ListLabel27">
    <w:name w:val="ListLabel 27"/>
    <w:qFormat/>
    <w:rPr>
      <w:rFonts w:cs="Wingdings"/>
      <w:sz w:val="20"/>
    </w:rPr>
  </w:style>
  <w:style w:type="character" w:customStyle="1" w:styleId="ListLabel28">
    <w:name w:val="ListLabel 28"/>
    <w:qFormat/>
    <w:rPr>
      <w:rFonts w:cs="Wingdings"/>
      <w:sz w:val="20"/>
    </w:rPr>
  </w:style>
  <w:style w:type="character" w:customStyle="1" w:styleId="ListLabel29">
    <w:name w:val="ListLabel 29"/>
    <w:qFormat/>
    <w:rPr>
      <w:rFonts w:cs="Wingdings"/>
      <w:sz w:val="20"/>
    </w:rPr>
  </w:style>
  <w:style w:type="character" w:customStyle="1" w:styleId="ListLabel30">
    <w:name w:val="ListLabel 30"/>
    <w:qFormat/>
    <w:rPr>
      <w:rFonts w:cs="Wingdings"/>
      <w:sz w:val="20"/>
    </w:rPr>
  </w:style>
  <w:style w:type="character" w:customStyle="1" w:styleId="ListLabel31">
    <w:name w:val="ListLabel 31"/>
    <w:qFormat/>
    <w:rPr>
      <w:rFonts w:cs="Wingdings"/>
      <w:sz w:val="20"/>
    </w:rPr>
  </w:style>
  <w:style w:type="character" w:customStyle="1" w:styleId="ListLabel32">
    <w:name w:val="ListLabel 32"/>
    <w:qFormat/>
    <w:rPr>
      <w:rFonts w:cs="Wingdings"/>
      <w:sz w:val="20"/>
    </w:rPr>
  </w:style>
  <w:style w:type="character" w:customStyle="1" w:styleId="ListLabel33">
    <w:name w:val="ListLabel 33"/>
    <w:qFormat/>
    <w:rPr>
      <w:rFonts w:cs="Symbol"/>
      <w:spacing w:val="2"/>
      <w:sz w:val="24"/>
      <w:szCs w:val="24"/>
    </w:rPr>
  </w:style>
  <w:style w:type="character" w:customStyle="1" w:styleId="ListLabel34">
    <w:name w:val="ListLabel 34"/>
    <w:qFormat/>
    <w:rPr>
      <w:rFonts w:cs="Symbol"/>
      <w:sz w:val="24"/>
    </w:rPr>
  </w:style>
  <w:style w:type="character" w:customStyle="1" w:styleId="ListLabel35">
    <w:name w:val="ListLabel 35"/>
    <w:qFormat/>
    <w:rPr>
      <w:rFonts w:cs="Symbol"/>
      <w:spacing w:val="2"/>
    </w:rPr>
  </w:style>
  <w:style w:type="character" w:customStyle="1" w:styleId="ListLabel36">
    <w:name w:val="ListLabel 36"/>
    <w:qFormat/>
    <w:rPr>
      <w:rFonts w:cs="Symbol"/>
      <w:sz w:val="24"/>
    </w:rPr>
  </w:style>
  <w:style w:type="character" w:customStyle="1" w:styleId="ListLabel37">
    <w:name w:val="ListLabel 37"/>
    <w:qFormat/>
    <w:rPr>
      <w:rFonts w:cs="Symbol"/>
      <w:sz w:val="24"/>
      <w:szCs w:val="24"/>
    </w:rPr>
  </w:style>
  <w:style w:type="character" w:customStyle="1" w:styleId="ListLabel38">
    <w:name w:val="ListLabel 38"/>
    <w:qFormat/>
    <w:rPr>
      <w:rFonts w:cs="Symbol"/>
      <w:color w:val="000000"/>
      <w:sz w:val="24"/>
      <w:szCs w:val="24"/>
      <w:lang w:eastAsia="pl-PL"/>
    </w:rPr>
  </w:style>
  <w:style w:type="character" w:customStyle="1" w:styleId="ListLabel39">
    <w:name w:val="ListLabel 39"/>
    <w:qFormat/>
    <w:rPr>
      <w:rFonts w:cs="Symbol"/>
      <w:color w:val="000000"/>
      <w:sz w:val="24"/>
      <w:szCs w:val="24"/>
      <w:lang w:eastAsia="pl-PL"/>
    </w:rPr>
  </w:style>
  <w:style w:type="character" w:customStyle="1" w:styleId="ListLabel40">
    <w:name w:val="ListLabel 40"/>
    <w:qFormat/>
    <w:rPr>
      <w:rFonts w:cs="Symbol"/>
      <w:color w:val="000000"/>
      <w:sz w:val="24"/>
      <w:szCs w:val="24"/>
      <w:lang w:eastAsia="pl-PL"/>
    </w:rPr>
  </w:style>
  <w:style w:type="character" w:customStyle="1" w:styleId="ListLabel41">
    <w:name w:val="ListLabel 41"/>
    <w:qFormat/>
    <w:rPr>
      <w:rFonts w:cs="Courier New"/>
      <w:sz w:val="20"/>
    </w:rPr>
  </w:style>
  <w:style w:type="character" w:customStyle="1" w:styleId="ListLabel42">
    <w:name w:val="ListLabel 42"/>
    <w:qFormat/>
    <w:rPr>
      <w:rFonts w:cs="Wingdings"/>
      <w:sz w:val="20"/>
    </w:rPr>
  </w:style>
  <w:style w:type="character" w:customStyle="1" w:styleId="ListLabel43">
    <w:name w:val="ListLabel 43"/>
    <w:qFormat/>
    <w:rPr>
      <w:rFonts w:cs="Wingdings"/>
      <w:sz w:val="20"/>
    </w:rPr>
  </w:style>
  <w:style w:type="character" w:customStyle="1" w:styleId="ListLabel44">
    <w:name w:val="ListLabel 44"/>
    <w:qFormat/>
    <w:rPr>
      <w:rFonts w:cs="Wingdings"/>
      <w:sz w:val="20"/>
    </w:rPr>
  </w:style>
  <w:style w:type="character" w:customStyle="1" w:styleId="ListLabel45">
    <w:name w:val="ListLabel 45"/>
    <w:qFormat/>
    <w:rPr>
      <w:rFonts w:cs="Wingdings"/>
      <w:sz w:val="20"/>
    </w:rPr>
  </w:style>
  <w:style w:type="character" w:customStyle="1" w:styleId="ListLabel46">
    <w:name w:val="ListLabel 46"/>
    <w:qFormat/>
    <w:rPr>
      <w:rFonts w:cs="Wingdings"/>
      <w:sz w:val="20"/>
    </w:rPr>
  </w:style>
  <w:style w:type="character" w:customStyle="1" w:styleId="ListLabel47">
    <w:name w:val="ListLabel 47"/>
    <w:qFormat/>
    <w:rPr>
      <w:rFonts w:cs="Wingdings"/>
      <w:sz w:val="20"/>
    </w:rPr>
  </w:style>
  <w:style w:type="character" w:customStyle="1" w:styleId="ListLabel48">
    <w:name w:val="ListLabel 48"/>
    <w:qFormat/>
    <w:rPr>
      <w:rFonts w:cs="Wingdings"/>
      <w:sz w:val="2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Times New Roman" w:eastAsia="Lucida Sans Unicode" w:hAnsi="Times New Roman" w:cs="Tahoma"/>
      <w:color w:val="00000A"/>
      <w:sz w:val="24"/>
      <w:lang w:bidi="ar-SA"/>
    </w:rPr>
  </w:style>
  <w:style w:type="paragraph" w:styleId="NormalnyWeb">
    <w:name w:val="Normal (Web)"/>
    <w:basedOn w:val="Normalny"/>
    <w:qFormat/>
    <w:pPr>
      <w:spacing w:before="280" w:after="119"/>
    </w:pPr>
  </w:style>
  <w:style w:type="paragraph" w:customStyle="1" w:styleId="Default">
    <w:name w:val="Default"/>
    <w:qFormat/>
    <w:pPr>
      <w:suppressAutoHyphens/>
    </w:pPr>
    <w:rPr>
      <w:rFonts w:ascii="Arial" w:eastAsia="Times New Roman" w:hAnsi="Arial" w:cs="Arial"/>
      <w:color w:val="000000"/>
      <w:sz w:val="24"/>
      <w:lang w:bidi="ar-SA"/>
    </w:rPr>
  </w:style>
  <w:style w:type="numbering" w:customStyle="1" w:styleId="WW8Num6">
    <w:name w:val="WW8Num6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9">
    <w:name w:val="WW8Num9"/>
    <w:qFormat/>
  </w:style>
  <w:style w:type="numbering" w:customStyle="1" w:styleId="WW8Num8">
    <w:name w:val="WW8Num8"/>
    <w:qFormat/>
  </w:style>
  <w:style w:type="numbering" w:customStyle="1" w:styleId="WW8Num5">
    <w:name w:val="WW8Num5"/>
    <w:qFormat/>
  </w:style>
  <w:style w:type="numbering" w:customStyle="1" w:styleId="WW8Num15">
    <w:name w:val="WW8Num15"/>
    <w:qFormat/>
  </w:style>
  <w:style w:type="numbering" w:customStyle="1" w:styleId="WW8Num12">
    <w:name w:val="WW8Num12"/>
    <w:qFormat/>
  </w:style>
  <w:style w:type="numbering" w:customStyle="1" w:styleId="WW8Num14">
    <w:name w:val="WW8Num14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oto Sans CJK SC Regular" w:hAnsi="Liberation Serif" w:cs="FreeSans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WW8Num6z0">
    <w:name w:val="WW8Num6z0"/>
    <w:qFormat/>
    <w:rPr>
      <w:rFonts w:ascii="Symbol" w:hAnsi="Symbol" w:cs="Symbol"/>
      <w:spacing w:val="2"/>
      <w:sz w:val="24"/>
      <w:szCs w:val="24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Symbol" w:hAnsi="Symbol" w:cs="Symbol"/>
      <w:spacing w:val="2"/>
    </w:rPr>
  </w:style>
  <w:style w:type="character" w:customStyle="1" w:styleId="Domylnaczcionkaakapitu1">
    <w:name w:val="Domyślna czcionka akapitu1"/>
    <w:qFormat/>
  </w:style>
  <w:style w:type="character" w:customStyle="1" w:styleId="txt11">
    <w:name w:val="txt11"/>
    <w:basedOn w:val="Domylnaczcionkaakapitu1"/>
    <w:qFormat/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  <w:sz w:val="24"/>
      <w:szCs w:val="24"/>
    </w:rPr>
  </w:style>
  <w:style w:type="character" w:customStyle="1" w:styleId="WW8Num5z0">
    <w:name w:val="WW8Num5z0"/>
    <w:qFormat/>
    <w:rPr>
      <w:rFonts w:ascii="Symbol" w:hAnsi="Symbol" w:cs="Symbol"/>
      <w:color w:val="000000"/>
      <w:sz w:val="24"/>
      <w:szCs w:val="24"/>
      <w:lang w:eastAsia="pl-PL"/>
    </w:rPr>
  </w:style>
  <w:style w:type="character" w:customStyle="1" w:styleId="WW8Num15z0">
    <w:name w:val="WW8Num15z0"/>
    <w:qFormat/>
    <w:rPr>
      <w:rFonts w:ascii="Symbol" w:hAnsi="Symbol" w:cs="Symbol"/>
      <w:color w:val="000000"/>
      <w:sz w:val="24"/>
      <w:szCs w:val="24"/>
      <w:lang w:eastAsia="pl-PL"/>
    </w:rPr>
  </w:style>
  <w:style w:type="character" w:customStyle="1" w:styleId="WW8Num12z0">
    <w:name w:val="WW8Num12z0"/>
    <w:qFormat/>
    <w:rPr>
      <w:rFonts w:ascii="Symbol" w:hAnsi="Symbol" w:cs="Symbol"/>
      <w:color w:val="000000"/>
      <w:sz w:val="20"/>
      <w:szCs w:val="24"/>
      <w:lang w:eastAsia="pl-PL"/>
    </w:rPr>
  </w:style>
  <w:style w:type="character" w:customStyle="1" w:styleId="WW8Num12z1">
    <w:name w:val="WW8Num12z1"/>
    <w:qFormat/>
    <w:rPr>
      <w:rFonts w:ascii="Courier New" w:hAnsi="Courier New" w:cs="Courier New"/>
      <w:sz w:val="20"/>
    </w:rPr>
  </w:style>
  <w:style w:type="character" w:customStyle="1" w:styleId="WW8Num12z2">
    <w:name w:val="WW8Num12z2"/>
    <w:qFormat/>
    <w:rPr>
      <w:rFonts w:ascii="Wingdings" w:hAnsi="Wingdings" w:cs="Wingdings"/>
      <w:sz w:val="20"/>
    </w:rPr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ListLabel1">
    <w:name w:val="ListLabel 1"/>
    <w:qFormat/>
    <w:rPr>
      <w:rFonts w:cs="Symbol"/>
      <w:spacing w:val="2"/>
      <w:sz w:val="24"/>
      <w:szCs w:val="24"/>
    </w:rPr>
  </w:style>
  <w:style w:type="character" w:customStyle="1" w:styleId="ListLabel2">
    <w:name w:val="ListLabel 2"/>
    <w:qFormat/>
    <w:rPr>
      <w:rFonts w:cs="Symbol"/>
      <w:sz w:val="24"/>
    </w:rPr>
  </w:style>
  <w:style w:type="character" w:customStyle="1" w:styleId="ListLabel3">
    <w:name w:val="ListLabel 3"/>
    <w:qFormat/>
    <w:rPr>
      <w:rFonts w:cs="Symbol"/>
      <w:spacing w:val="2"/>
    </w:rPr>
  </w:style>
  <w:style w:type="character" w:customStyle="1" w:styleId="ListLabel4">
    <w:name w:val="ListLabel 4"/>
    <w:qFormat/>
    <w:rPr>
      <w:rFonts w:cs="Symbol"/>
      <w:sz w:val="24"/>
    </w:rPr>
  </w:style>
  <w:style w:type="character" w:customStyle="1" w:styleId="ListLabel5">
    <w:name w:val="ListLabel 5"/>
    <w:qFormat/>
    <w:rPr>
      <w:rFonts w:cs="Symbol"/>
      <w:sz w:val="24"/>
      <w:szCs w:val="24"/>
    </w:rPr>
  </w:style>
  <w:style w:type="character" w:customStyle="1" w:styleId="ListLabel6">
    <w:name w:val="ListLabel 6"/>
    <w:qFormat/>
    <w:rPr>
      <w:rFonts w:cs="Symbol"/>
      <w:color w:val="000000"/>
      <w:sz w:val="24"/>
      <w:szCs w:val="24"/>
      <w:lang w:eastAsia="pl-PL"/>
    </w:rPr>
  </w:style>
  <w:style w:type="character" w:customStyle="1" w:styleId="ListLabel7">
    <w:name w:val="ListLabel 7"/>
    <w:qFormat/>
    <w:rPr>
      <w:rFonts w:cs="Symbol"/>
      <w:color w:val="000000"/>
      <w:sz w:val="24"/>
      <w:szCs w:val="24"/>
      <w:lang w:eastAsia="pl-PL"/>
    </w:rPr>
  </w:style>
  <w:style w:type="character" w:customStyle="1" w:styleId="ListLabel8">
    <w:name w:val="ListLabel 8"/>
    <w:qFormat/>
    <w:rPr>
      <w:rFonts w:cs="Symbol"/>
      <w:color w:val="000000"/>
      <w:sz w:val="24"/>
      <w:szCs w:val="24"/>
      <w:lang w:eastAsia="pl-PL"/>
    </w:rPr>
  </w:style>
  <w:style w:type="character" w:customStyle="1" w:styleId="ListLabel9">
    <w:name w:val="ListLabel 9"/>
    <w:qFormat/>
    <w:rPr>
      <w:rFonts w:cs="Courier New"/>
      <w:sz w:val="20"/>
    </w:rPr>
  </w:style>
  <w:style w:type="character" w:customStyle="1" w:styleId="ListLabel10">
    <w:name w:val="ListLabel 10"/>
    <w:qFormat/>
    <w:rPr>
      <w:rFonts w:cs="Wingdings"/>
      <w:sz w:val="20"/>
    </w:rPr>
  </w:style>
  <w:style w:type="character" w:customStyle="1" w:styleId="ListLabel11">
    <w:name w:val="ListLabel 11"/>
    <w:qFormat/>
    <w:rPr>
      <w:rFonts w:cs="Wingdings"/>
      <w:sz w:val="20"/>
    </w:rPr>
  </w:style>
  <w:style w:type="character" w:customStyle="1" w:styleId="ListLabel12">
    <w:name w:val="ListLabel 12"/>
    <w:qFormat/>
    <w:rPr>
      <w:rFonts w:cs="Wingdings"/>
      <w:sz w:val="20"/>
    </w:rPr>
  </w:style>
  <w:style w:type="character" w:customStyle="1" w:styleId="ListLabel13">
    <w:name w:val="ListLabel 13"/>
    <w:qFormat/>
    <w:rPr>
      <w:rFonts w:cs="Wingdings"/>
      <w:sz w:val="20"/>
    </w:rPr>
  </w:style>
  <w:style w:type="character" w:customStyle="1" w:styleId="ListLabel14">
    <w:name w:val="ListLabel 14"/>
    <w:qFormat/>
    <w:rPr>
      <w:rFonts w:cs="Wingdings"/>
      <w:sz w:val="20"/>
    </w:rPr>
  </w:style>
  <w:style w:type="character" w:customStyle="1" w:styleId="ListLabel15">
    <w:name w:val="ListLabel 15"/>
    <w:qFormat/>
    <w:rPr>
      <w:rFonts w:cs="Wingdings"/>
      <w:sz w:val="20"/>
    </w:rPr>
  </w:style>
  <w:style w:type="character" w:customStyle="1" w:styleId="ListLabel16">
    <w:name w:val="ListLabel 16"/>
    <w:qFormat/>
    <w:rPr>
      <w:rFonts w:cs="Wingdings"/>
      <w:sz w:val="20"/>
    </w:rPr>
  </w:style>
  <w:style w:type="character" w:customStyle="1" w:styleId="ListLabel17">
    <w:name w:val="ListLabel 17"/>
    <w:qFormat/>
    <w:rPr>
      <w:rFonts w:cs="Symbol"/>
      <w:spacing w:val="2"/>
      <w:sz w:val="24"/>
      <w:szCs w:val="24"/>
    </w:rPr>
  </w:style>
  <w:style w:type="character" w:customStyle="1" w:styleId="ListLabel18">
    <w:name w:val="ListLabel 18"/>
    <w:qFormat/>
    <w:rPr>
      <w:rFonts w:cs="Symbol"/>
      <w:sz w:val="24"/>
    </w:rPr>
  </w:style>
  <w:style w:type="character" w:customStyle="1" w:styleId="ListLabel19">
    <w:name w:val="ListLabel 19"/>
    <w:qFormat/>
    <w:rPr>
      <w:rFonts w:cs="Symbol"/>
      <w:spacing w:val="2"/>
    </w:rPr>
  </w:style>
  <w:style w:type="character" w:customStyle="1" w:styleId="ListLabel20">
    <w:name w:val="ListLabel 20"/>
    <w:qFormat/>
    <w:rPr>
      <w:rFonts w:cs="Symbol"/>
      <w:sz w:val="24"/>
    </w:rPr>
  </w:style>
  <w:style w:type="character" w:customStyle="1" w:styleId="ListLabel21">
    <w:name w:val="ListLabel 21"/>
    <w:qFormat/>
    <w:rPr>
      <w:rFonts w:cs="Symbol"/>
      <w:sz w:val="24"/>
      <w:szCs w:val="24"/>
    </w:rPr>
  </w:style>
  <w:style w:type="character" w:customStyle="1" w:styleId="ListLabel22">
    <w:name w:val="ListLabel 22"/>
    <w:qFormat/>
    <w:rPr>
      <w:rFonts w:cs="Symbol"/>
      <w:color w:val="000000"/>
      <w:sz w:val="24"/>
      <w:szCs w:val="24"/>
      <w:lang w:eastAsia="pl-PL"/>
    </w:rPr>
  </w:style>
  <w:style w:type="character" w:customStyle="1" w:styleId="ListLabel23">
    <w:name w:val="ListLabel 23"/>
    <w:qFormat/>
    <w:rPr>
      <w:rFonts w:cs="Symbol"/>
      <w:color w:val="000000"/>
      <w:sz w:val="24"/>
      <w:szCs w:val="24"/>
      <w:lang w:eastAsia="pl-PL"/>
    </w:rPr>
  </w:style>
  <w:style w:type="character" w:customStyle="1" w:styleId="ListLabel24">
    <w:name w:val="ListLabel 24"/>
    <w:qFormat/>
    <w:rPr>
      <w:rFonts w:cs="Symbol"/>
      <w:color w:val="000000"/>
      <w:sz w:val="24"/>
      <w:szCs w:val="24"/>
      <w:lang w:eastAsia="pl-PL"/>
    </w:rPr>
  </w:style>
  <w:style w:type="character" w:customStyle="1" w:styleId="ListLabel25">
    <w:name w:val="ListLabel 25"/>
    <w:qFormat/>
    <w:rPr>
      <w:rFonts w:cs="Courier New"/>
      <w:sz w:val="20"/>
    </w:rPr>
  </w:style>
  <w:style w:type="character" w:customStyle="1" w:styleId="ListLabel26">
    <w:name w:val="ListLabel 26"/>
    <w:qFormat/>
    <w:rPr>
      <w:rFonts w:cs="Wingdings"/>
      <w:sz w:val="20"/>
    </w:rPr>
  </w:style>
  <w:style w:type="character" w:customStyle="1" w:styleId="ListLabel27">
    <w:name w:val="ListLabel 27"/>
    <w:qFormat/>
    <w:rPr>
      <w:rFonts w:cs="Wingdings"/>
      <w:sz w:val="20"/>
    </w:rPr>
  </w:style>
  <w:style w:type="character" w:customStyle="1" w:styleId="ListLabel28">
    <w:name w:val="ListLabel 28"/>
    <w:qFormat/>
    <w:rPr>
      <w:rFonts w:cs="Wingdings"/>
      <w:sz w:val="20"/>
    </w:rPr>
  </w:style>
  <w:style w:type="character" w:customStyle="1" w:styleId="ListLabel29">
    <w:name w:val="ListLabel 29"/>
    <w:qFormat/>
    <w:rPr>
      <w:rFonts w:cs="Wingdings"/>
      <w:sz w:val="20"/>
    </w:rPr>
  </w:style>
  <w:style w:type="character" w:customStyle="1" w:styleId="ListLabel30">
    <w:name w:val="ListLabel 30"/>
    <w:qFormat/>
    <w:rPr>
      <w:rFonts w:cs="Wingdings"/>
      <w:sz w:val="20"/>
    </w:rPr>
  </w:style>
  <w:style w:type="character" w:customStyle="1" w:styleId="ListLabel31">
    <w:name w:val="ListLabel 31"/>
    <w:qFormat/>
    <w:rPr>
      <w:rFonts w:cs="Wingdings"/>
      <w:sz w:val="20"/>
    </w:rPr>
  </w:style>
  <w:style w:type="character" w:customStyle="1" w:styleId="ListLabel32">
    <w:name w:val="ListLabel 32"/>
    <w:qFormat/>
    <w:rPr>
      <w:rFonts w:cs="Wingdings"/>
      <w:sz w:val="20"/>
    </w:rPr>
  </w:style>
  <w:style w:type="character" w:customStyle="1" w:styleId="ListLabel33">
    <w:name w:val="ListLabel 33"/>
    <w:qFormat/>
    <w:rPr>
      <w:rFonts w:cs="Symbol"/>
      <w:spacing w:val="2"/>
      <w:sz w:val="24"/>
      <w:szCs w:val="24"/>
    </w:rPr>
  </w:style>
  <w:style w:type="character" w:customStyle="1" w:styleId="ListLabel34">
    <w:name w:val="ListLabel 34"/>
    <w:qFormat/>
    <w:rPr>
      <w:rFonts w:cs="Symbol"/>
      <w:sz w:val="24"/>
    </w:rPr>
  </w:style>
  <w:style w:type="character" w:customStyle="1" w:styleId="ListLabel35">
    <w:name w:val="ListLabel 35"/>
    <w:qFormat/>
    <w:rPr>
      <w:rFonts w:cs="Symbol"/>
      <w:spacing w:val="2"/>
    </w:rPr>
  </w:style>
  <w:style w:type="character" w:customStyle="1" w:styleId="ListLabel36">
    <w:name w:val="ListLabel 36"/>
    <w:qFormat/>
    <w:rPr>
      <w:rFonts w:cs="Symbol"/>
      <w:sz w:val="24"/>
    </w:rPr>
  </w:style>
  <w:style w:type="character" w:customStyle="1" w:styleId="ListLabel37">
    <w:name w:val="ListLabel 37"/>
    <w:qFormat/>
    <w:rPr>
      <w:rFonts w:cs="Symbol"/>
      <w:sz w:val="24"/>
      <w:szCs w:val="24"/>
    </w:rPr>
  </w:style>
  <w:style w:type="character" w:customStyle="1" w:styleId="ListLabel38">
    <w:name w:val="ListLabel 38"/>
    <w:qFormat/>
    <w:rPr>
      <w:rFonts w:cs="Symbol"/>
      <w:color w:val="000000"/>
      <w:sz w:val="24"/>
      <w:szCs w:val="24"/>
      <w:lang w:eastAsia="pl-PL"/>
    </w:rPr>
  </w:style>
  <w:style w:type="character" w:customStyle="1" w:styleId="ListLabel39">
    <w:name w:val="ListLabel 39"/>
    <w:qFormat/>
    <w:rPr>
      <w:rFonts w:cs="Symbol"/>
      <w:color w:val="000000"/>
      <w:sz w:val="24"/>
      <w:szCs w:val="24"/>
      <w:lang w:eastAsia="pl-PL"/>
    </w:rPr>
  </w:style>
  <w:style w:type="character" w:customStyle="1" w:styleId="ListLabel40">
    <w:name w:val="ListLabel 40"/>
    <w:qFormat/>
    <w:rPr>
      <w:rFonts w:cs="Symbol"/>
      <w:color w:val="000000"/>
      <w:sz w:val="24"/>
      <w:szCs w:val="24"/>
      <w:lang w:eastAsia="pl-PL"/>
    </w:rPr>
  </w:style>
  <w:style w:type="character" w:customStyle="1" w:styleId="ListLabel41">
    <w:name w:val="ListLabel 41"/>
    <w:qFormat/>
    <w:rPr>
      <w:rFonts w:cs="Courier New"/>
      <w:sz w:val="20"/>
    </w:rPr>
  </w:style>
  <w:style w:type="character" w:customStyle="1" w:styleId="ListLabel42">
    <w:name w:val="ListLabel 42"/>
    <w:qFormat/>
    <w:rPr>
      <w:rFonts w:cs="Wingdings"/>
      <w:sz w:val="20"/>
    </w:rPr>
  </w:style>
  <w:style w:type="character" w:customStyle="1" w:styleId="ListLabel43">
    <w:name w:val="ListLabel 43"/>
    <w:qFormat/>
    <w:rPr>
      <w:rFonts w:cs="Wingdings"/>
      <w:sz w:val="20"/>
    </w:rPr>
  </w:style>
  <w:style w:type="character" w:customStyle="1" w:styleId="ListLabel44">
    <w:name w:val="ListLabel 44"/>
    <w:qFormat/>
    <w:rPr>
      <w:rFonts w:cs="Wingdings"/>
      <w:sz w:val="20"/>
    </w:rPr>
  </w:style>
  <w:style w:type="character" w:customStyle="1" w:styleId="ListLabel45">
    <w:name w:val="ListLabel 45"/>
    <w:qFormat/>
    <w:rPr>
      <w:rFonts w:cs="Wingdings"/>
      <w:sz w:val="20"/>
    </w:rPr>
  </w:style>
  <w:style w:type="character" w:customStyle="1" w:styleId="ListLabel46">
    <w:name w:val="ListLabel 46"/>
    <w:qFormat/>
    <w:rPr>
      <w:rFonts w:cs="Wingdings"/>
      <w:sz w:val="20"/>
    </w:rPr>
  </w:style>
  <w:style w:type="character" w:customStyle="1" w:styleId="ListLabel47">
    <w:name w:val="ListLabel 47"/>
    <w:qFormat/>
    <w:rPr>
      <w:rFonts w:cs="Wingdings"/>
      <w:sz w:val="20"/>
    </w:rPr>
  </w:style>
  <w:style w:type="character" w:customStyle="1" w:styleId="ListLabel48">
    <w:name w:val="ListLabel 48"/>
    <w:qFormat/>
    <w:rPr>
      <w:rFonts w:cs="Wingdings"/>
      <w:sz w:val="2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Times New Roman" w:eastAsia="Lucida Sans Unicode" w:hAnsi="Times New Roman" w:cs="Tahoma"/>
      <w:color w:val="00000A"/>
      <w:sz w:val="24"/>
      <w:lang w:bidi="ar-SA"/>
    </w:rPr>
  </w:style>
  <w:style w:type="paragraph" w:styleId="NormalnyWeb">
    <w:name w:val="Normal (Web)"/>
    <w:basedOn w:val="Normalny"/>
    <w:qFormat/>
    <w:pPr>
      <w:spacing w:before="280" w:after="119"/>
    </w:pPr>
  </w:style>
  <w:style w:type="paragraph" w:customStyle="1" w:styleId="Default">
    <w:name w:val="Default"/>
    <w:qFormat/>
    <w:pPr>
      <w:suppressAutoHyphens/>
    </w:pPr>
    <w:rPr>
      <w:rFonts w:ascii="Arial" w:eastAsia="Times New Roman" w:hAnsi="Arial" w:cs="Arial"/>
      <w:color w:val="000000"/>
      <w:sz w:val="24"/>
      <w:lang w:bidi="ar-SA"/>
    </w:rPr>
  </w:style>
  <w:style w:type="numbering" w:customStyle="1" w:styleId="WW8Num6">
    <w:name w:val="WW8Num6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9">
    <w:name w:val="WW8Num9"/>
    <w:qFormat/>
  </w:style>
  <w:style w:type="numbering" w:customStyle="1" w:styleId="WW8Num8">
    <w:name w:val="WW8Num8"/>
    <w:qFormat/>
  </w:style>
  <w:style w:type="numbering" w:customStyle="1" w:styleId="WW8Num5">
    <w:name w:val="WW8Num5"/>
    <w:qFormat/>
  </w:style>
  <w:style w:type="numbering" w:customStyle="1" w:styleId="WW8Num15">
    <w:name w:val="WW8Num15"/>
    <w:qFormat/>
  </w:style>
  <w:style w:type="numbering" w:customStyle="1" w:styleId="WW8Num12">
    <w:name w:val="WW8Num12"/>
    <w:qFormat/>
  </w:style>
  <w:style w:type="numbering" w:customStyle="1" w:styleId="WW8Num14">
    <w:name w:val="WW8Num1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ip.boniewo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boniewo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4270</Words>
  <Characters>25620</Characters>
  <Application>Microsoft Office Word</Application>
  <DocSecurity>0</DocSecurity>
  <Lines>213</Lines>
  <Paragraphs>59</Paragraphs>
  <ScaleCrop>false</ScaleCrop>
  <Company/>
  <LinksUpToDate>false</LinksUpToDate>
  <CharactersWithSpaces>29831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Janiec</dc:creator>
  <cp:lastModifiedBy>Janiec</cp:lastModifiedBy>
  <cp:revision>2</cp:revision>
  <cp:lastPrinted>2017-05-26T09:58:00Z</cp:lastPrinted>
  <dcterms:created xsi:type="dcterms:W3CDTF">2017-05-29T17:05:00Z</dcterms:created>
  <dcterms:modified xsi:type="dcterms:W3CDTF">2017-05-29T17:05:00Z</dcterms:modified>
  <dc:language>pl-PL</dc:language>
</cp:coreProperties>
</file>