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r w:rsidRPr="00016CD8"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  <w:t xml:space="preserve">                                                                                Załącznik Nr 1 do uchwały Rady Gminy Boniewo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r w:rsidRPr="00016CD8"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  <w:t xml:space="preserve">                                                                        Nr </w:t>
      </w:r>
      <w:r w:rsidRPr="00016CD8">
        <w:rPr>
          <w:rFonts w:ascii="Times New Roman" w:eastAsia="Lucida Sans Unicode" w:hAnsi="Times New Roman" w:cs="Times New Roman"/>
          <w:b/>
          <w:bCs/>
          <w:color w:val="000000"/>
          <w:sz w:val="24"/>
          <w:szCs w:val="24"/>
          <w:lang/>
        </w:rPr>
        <w:t>X/77/15</w:t>
      </w:r>
      <w:r w:rsidRPr="00016CD8">
        <w:rPr>
          <w:rFonts w:ascii="Times New Roman" w:eastAsia="Lucida Sans Unicode" w:hAnsi="Times New Roman" w:cs="Times New Roman"/>
          <w:b/>
          <w:bCs/>
          <w:color w:val="000000"/>
          <w:sz w:val="24"/>
          <w:szCs w:val="24"/>
          <w:lang/>
        </w:rPr>
        <w:t xml:space="preserve"> </w:t>
      </w:r>
      <w:r w:rsidRPr="00016CD8"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  <w:t>z dnia 30 grudnia 2015 roku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r w:rsidRPr="00016CD8"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  <w:t xml:space="preserve">                                         </w:t>
      </w:r>
      <w:proofErr w:type="gramStart"/>
      <w:r w:rsidRPr="00016CD8"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  <w:t>w</w:t>
      </w:r>
      <w:proofErr w:type="gramEnd"/>
      <w:r w:rsidRPr="00016CD8"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  <w:t xml:space="preserve"> sprawie zatwierdzenia 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r w:rsidRPr="00016CD8"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  <w:t xml:space="preserve">                                                            Planu Odnowy Miejscowości Grójec 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  <w:r w:rsidRPr="00016CD8"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  <w:t xml:space="preserve">PLAN </w:t>
      </w:r>
      <w:proofErr w:type="gramStart"/>
      <w:r w:rsidRPr="00016CD8"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  <w:t>ODNOWY  MIEJSCOWOŚCI</w:t>
      </w:r>
      <w:proofErr w:type="gramEnd"/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  <w:r w:rsidRPr="00016CD8"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  <w:t xml:space="preserve">GRÓJEC 2015-2022 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  <w:r>
        <w:rPr>
          <w:rFonts w:ascii="Times New Roman" w:eastAsia="Lucida Sans Unicode" w:hAnsi="Times New Roman" w:cs="Times New Roman"/>
          <w:b/>
          <w:bCs/>
          <w:noProof/>
          <w:color w:val="000000"/>
          <w:sz w:val="36"/>
          <w:szCs w:val="36"/>
          <w:lang w:eastAsia="pl-PL"/>
        </w:rPr>
        <w:drawing>
          <wp:inline distT="0" distB="0" distL="0" distR="0">
            <wp:extent cx="3495675" cy="4086225"/>
            <wp:effectExtent l="0" t="0" r="9525" b="9525"/>
            <wp:docPr id="26" name="Obraz 26" descr="SSA52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SA5202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675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  <w:r w:rsidRPr="00016CD8"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  <w:t>Gmina Boniewo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  <w:r w:rsidRPr="00016CD8"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  <w:t>Powiat Włocławski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  <w:proofErr w:type="gramStart"/>
      <w:r w:rsidRPr="00016CD8"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  <w:t>Województwo  Kujawsko-Pomorskie</w:t>
      </w:r>
      <w:proofErr w:type="gramEnd"/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923925" cy="1085850"/>
            <wp:effectExtent l="0" t="0" r="9525" b="0"/>
            <wp:docPr id="25" name="Obraz 25" descr="Znalezione obrazy dla zapytania bonie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Znalezione obrazy dla zapytania boniew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1085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sz w:val="36"/>
          <w:szCs w:val="36"/>
          <w:lang/>
        </w:rPr>
      </w:pPr>
      <w:r w:rsidRPr="00016CD8"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  <w:lastRenderedPageBreak/>
        <w:t xml:space="preserve">                             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/>
        </w:rPr>
        <w:t xml:space="preserve">Grójec, dnia 24.03.2015 </w:t>
      </w:r>
      <w:proofErr w:type="gramStart"/>
      <w:r w:rsidRPr="00016CD8"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/>
        </w:rPr>
        <w:t>rok</w:t>
      </w:r>
      <w:proofErr w:type="gramEnd"/>
      <w:r w:rsidRPr="00016CD8">
        <w:rPr>
          <w:rFonts w:ascii="Times New Roman" w:eastAsia="Lucida Sans Unicode" w:hAnsi="Times New Roman" w:cs="Times New Roman"/>
          <w:bCs/>
          <w:color w:val="000000"/>
          <w:sz w:val="24"/>
          <w:szCs w:val="24"/>
          <w:lang/>
        </w:rPr>
        <w:t xml:space="preserve"> 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  <w:t>SPIS TREŚCI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Wstęp ……………………………………………………………………………… 3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Wprowadzenie …………………………………………………………………….. 6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I. Charakterystyka miejscowości ………………………………………………….. 8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1. Położenie </w:t>
      </w: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administracyjno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-geograficzne ………………………………………. 8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2. Przynależność administracyjna …………………………………………………..11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3. Powierzchnia ……………………………………………………..………………11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4. Ludność…………………………………………………………………………...11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5. Historia……………………………………………………………………………11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6. Powierzchnia ziemi ………………………………………………………………14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7.Typ zabudowy …………………………………………………………………….15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II.Inwentaryzacja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zasobów miejscowości …………………………………………..17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1. Zasoby przyrodnicze………………………………………………………………17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2. Dziedzictwo kulturowe ………………………………………………………...…26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III. Demografia………………………………………………………………………31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IV. Obiekty i tereny na terenie miejscowości………………………………….…….34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V. Infrastruktura </w:t>
      </w: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lastRenderedPageBreak/>
        <w:t>społeczna…………………………………………………………..37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VI.Infrastruktura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techniczna ………………………………………………………...38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VII.Ochrona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zdrowia ………………………………………………………………..42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VIII.Gospodarka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i rolnictwo…………………………………………………………43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IX. Kapitał społeczny i ludzki…………………………………….…………………45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X. W jaki sposób rozwiązywane są problemy wsi…………………………………..47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XI. </w:t>
      </w:r>
      <w:proofErr w:type="gram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jakie</w:t>
      </w:r>
      <w:proofErr w:type="gram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obyczaje wieś pielęgnuje…………………………………………………..48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XII.Ocena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mocnych i słabych stron miejscowości Grójec ………...………………..50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XIII.Plan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działań……………………………………………………………………..53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XIV. Opis zadań do realizacji …………………………………………………...…..55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XV. Uzasadnienie realizacji zadań………………………………………………..…57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XVI.Odbiorcy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projektu ………………………………………...……………………60 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XVII.Oczekiwane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rezultaty …………………………………………...…………….60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XVIII.Koszt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realizacji zadań……………………………………………...…………65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XIX.Harmonogram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 xml:space="preserve"> realizacji projektu……………………..………………………..67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XX. Wdrożenie i monitorowanie planu…………………………….………………..69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  <w:proofErr w:type="spellStart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XXI.Podsumowanie</w:t>
      </w:r>
      <w:proofErr w:type="spellEnd"/>
      <w:r w:rsidRPr="00016CD8"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  <w:t>………………………………………………………………….70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b/>
          <w:bCs/>
          <w:color w:val="000000"/>
          <w:sz w:val="28"/>
          <w:szCs w:val="28"/>
          <w:lang/>
        </w:rPr>
        <w:t>WSTĘP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Sporządzenie Planu Odnowy Miejscowości Grójec zostało zainicjowane </w:t>
      </w: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 xml:space="preserve">przez mieszkańców wsi, w której imieniu występują Liderzy wybrani przez społeczeństwo podczas zebrania wiejskiego w dniu 24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marca 2015   roku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, w składzie: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Wójcińska Urszula</w:t>
      </w:r>
    </w:p>
    <w:p w:rsidR="00016CD8" w:rsidRPr="00016CD8" w:rsidRDefault="00016CD8" w:rsidP="00016CD8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Kaniewska Agnieszka </w:t>
      </w:r>
    </w:p>
    <w:p w:rsidR="00016CD8" w:rsidRPr="00016CD8" w:rsidRDefault="00016CD8" w:rsidP="00016CD8">
      <w:pPr>
        <w:widowControl w:val="0"/>
        <w:numPr>
          <w:ilvl w:val="0"/>
          <w:numId w:val="1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Suty Paweł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Powołana grupa będzie realizowała zadania stawiane przez mieszkańców wykorzystując zasoby własne, środki zewnętrzne otrzymane z regionu, funduszy zewnętrznych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oraz  samorządu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gminnego.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 w:eastAsia="ar-SA"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 w:eastAsia="ar-SA"/>
        </w:rPr>
        <w:t xml:space="preserve">Rozwój i odnowa obszarów wiejskich to jedno z kluczowych wyzwań, jakie stoją przed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 w:eastAsia="ar-SA"/>
        </w:rPr>
        <w:t>Polską  w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 w:eastAsia="ar-SA"/>
        </w:rPr>
        <w:t xml:space="preserve"> okresie integracji z Unią Europejską. Zasadniczym jej celem jest wzmocnienie działań służących zmniejszaniu istniejących dysproporcji i różnic w poziomie rozwoju obszarów wiejskich w stosunku do terenów miejskich.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 w:eastAsia="ar-SA"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Plan Odnowy Miejscowości jest jednym z najważniejszych elementów odnowy wsi, jej rozwoju oraz poprawy warunków pracy i życia mieszkańców. Sporządzenie i uchwalenie takiego dokumentu stanowi możliwość aplikowania o środki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finansowe  jak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również stanowić będzie kierunki  dla władz Gminy Boniewo dla rozwoju miejscowości Grójec.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Celem działania opracowanego Planu jest poprawa jakości życia na obszarach wiejskich poprzez zaspokojenie potrzeb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gospodarczych,  społecznych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i kulturalnych mieszkańców wsi oraz promowanie obszarów wiejskich, rozwiązywanie problemów wsi poprzez mobilizację </w:t>
      </w: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>mieszkańców do aktywnego uczestnictwa w życiu miejscowości, w której żyją pracują i wychowują dzieci, tworzenie warunków rozwoju funkcji gospodarczych, społecznych i kulturowych wsi, zaangażowanie społeczności wiejskiej w rozwój lokalny miejscowości, podniesienie standardu życia i pracy na wsi, podniesienie atrakcyjności turystycznej i gospodarczej własnej miejscowości.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</w:t>
      </w: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ab/>
        <w:t>Działanie umożliwi rozwój tożsamości społeczności wiejskiej, zachowanie dziedzictwa kulturowego i specyfiki obszarów wiejskich oraz wpłynie na wzrost ich atrakcyjności turystycznej i inwestycyjnej.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 ramach działania pomocą finansową zostaną objęte projekty dotyczące:</w:t>
      </w:r>
    </w:p>
    <w:p w:rsidR="00016CD8" w:rsidRPr="00016CD8" w:rsidRDefault="00016CD8" w:rsidP="00016CD8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Budowy, przebudowy, remontu lub wyposażenia obiektów:</w:t>
      </w:r>
    </w:p>
    <w:p w:rsidR="00016CD8" w:rsidRPr="00016CD8" w:rsidRDefault="00016CD8" w:rsidP="00016CD8">
      <w:pPr>
        <w:widowControl w:val="0"/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pełniących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funkcje publiczne, społeczno-kulturalne, rekreacyjne </w:t>
      </w:r>
    </w:p>
    <w:p w:rsidR="00016CD8" w:rsidRPr="00016CD8" w:rsidRDefault="00016CD8" w:rsidP="00016CD8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i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sportowe,</w:t>
      </w:r>
    </w:p>
    <w:p w:rsidR="00016CD8" w:rsidRPr="00016CD8" w:rsidRDefault="00016CD8" w:rsidP="00016CD8">
      <w:pPr>
        <w:widowControl w:val="0"/>
        <w:numPr>
          <w:ilvl w:val="1"/>
          <w:numId w:val="2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służących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promocji obszarów wiejskich, w tym propagowanie </w:t>
      </w:r>
    </w:p>
    <w:p w:rsidR="00016CD8" w:rsidRPr="00016CD8" w:rsidRDefault="00016CD8" w:rsidP="00016CD8">
      <w:pPr>
        <w:autoSpaceDE w:val="0"/>
        <w:autoSpaceDN w:val="0"/>
        <w:adjustRightInd w:val="0"/>
        <w:spacing w:after="0" w:line="360" w:lineRule="auto"/>
        <w:ind w:left="1080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i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zachowaniu dziedzictwa historycznego, tradycji, sztuki oraz kultury,</w:t>
      </w:r>
    </w:p>
    <w:p w:rsidR="00016CD8" w:rsidRPr="00016CD8" w:rsidRDefault="00016CD8" w:rsidP="00016CD8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Budowy, przebudowy,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remontu , 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naprawy infrastruktury drogowej,</w:t>
      </w:r>
    </w:p>
    <w:p w:rsidR="00016CD8" w:rsidRPr="00016CD8" w:rsidRDefault="00016CD8" w:rsidP="00016CD8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Kształtowania obszaru przestrzeni publicznej;</w:t>
      </w:r>
    </w:p>
    <w:p w:rsidR="00016CD8" w:rsidRPr="00016CD8" w:rsidRDefault="00016CD8" w:rsidP="00016CD8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Budowy remontu lub przebudowy infrastruktury związanej z rozwojem funkcji turystycznych, sportowych lub społeczno-kulturalnych;</w:t>
      </w:r>
    </w:p>
    <w:p w:rsidR="00016CD8" w:rsidRPr="00016CD8" w:rsidRDefault="00016CD8" w:rsidP="00016CD8">
      <w:pPr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Kultywowania tradycji społeczności lokalnej oraz tradycyjnych zawodów.</w:t>
      </w:r>
    </w:p>
    <w:p w:rsidR="00016CD8" w:rsidRPr="00016CD8" w:rsidRDefault="00016CD8" w:rsidP="00016CD8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autoSpaceDE w:val="0"/>
        <w:autoSpaceDN w:val="0"/>
        <w:adjustRightInd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 w:eastAsia="ar-SA"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 w:eastAsia="ar-SA"/>
        </w:rPr>
        <w:lastRenderedPageBreak/>
        <w:t>Obszarem realizacji Planu Odnowy Miejscowości Grójec jest obszar tej miejscowości.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Niniejsze opracowanie zawiera charakterystykę miejscowości, inwentaryzację zasobów służącą ujęciu stanu rzeczywistego, analizę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SWOT czyli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mocne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i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słabe strony miejscowości, planowane kierunki rozwoju, przedsięwzięcia wraz z szacunkowym kosztorysem i harmonogramem działań.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spacing w:after="0" w:line="360" w:lineRule="auto"/>
        <w:ind w:firstLine="1134"/>
        <w:jc w:val="both"/>
        <w:rPr>
          <w:rFonts w:ascii="Tahoma" w:eastAsia="Lucida Sans Unicode" w:hAnsi="Tahoma" w:cs="Tahoma"/>
          <w:bCs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Plan Odnowy Miejscowości Grójec to dokument, który określa strategię działań w sferze społeczno-gospodarczej na lata 2015-2022 Podstawą opracowania planu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jest  Lokalny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Program  Rozwoju  Gminy Boniewo na lata 2012-2020 zatwierdzony Uchwałą Rady gminy XX/128/12 z dn. 19 listopada 2012roku,  </w:t>
      </w:r>
      <w:r w:rsidRPr="00016CD8">
        <w:rPr>
          <w:rFonts w:ascii="Tahoma" w:eastAsia="Lucida Sans Unicode" w:hAnsi="Tahoma" w:cs="Tahoma"/>
          <w:bCs/>
          <w:color w:val="000000"/>
          <w:sz w:val="28"/>
          <w:szCs w:val="28"/>
          <w:lang/>
        </w:rPr>
        <w:t>Strategia Rozwoju Gospodarczego Gminy Boniewo zatwierdzona Uchwałą Rady Gminy Boniewo Nr IX/39/03 z dnia 8 października 2003 roku, Studium Uwarunkowań i Kierunków Zagospodarowania Przestrzennego zatwierdzone Uchwałą Rady Gminy Nr IV/14/2002 z 30 grudnia 2002 roku, Strategia Rozwoju Turystycznego Gminy Boniewo zatwierdzona Uchwałą Rady Gminy Nr VI/22/07 z dnia 15 marca 2007 roku, Wieloletni Program Inwestycyjny,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Niniejszy plan jest planem otwartym stwarzającym możliwość aktualizacji w zależności od potrzeb społecznych i uwarunkowań finansowych. Oznacza to, że mogą być dopisywane nowe zadania, a także to, że może zmienić się kolejność ich realizacji w zależności od uruchomienia i dostępu do funduszy w tym funduszy Unii Europejskiej.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WPROWADZENIE</w:t>
      </w:r>
    </w:p>
    <w:p w:rsidR="00016CD8" w:rsidRPr="00016CD8" w:rsidRDefault="00016CD8" w:rsidP="00016CD8">
      <w:pPr>
        <w:widowControl w:val="0"/>
        <w:suppressAutoHyphens/>
        <w:spacing w:before="120" w:after="12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Uwarunkowania Planu Odnowy Miejscowości polegają na tym, że ma on zdecentralizowany, lokalny charakter, obejmuje ograniczony teren jednej miejscowości i przygotowywany jest (przy udziale przedstawicieli gminy) z inicjatywy i przez mieszkańców miejscowości. </w:t>
      </w:r>
    </w:p>
    <w:p w:rsidR="00016CD8" w:rsidRPr="00016CD8" w:rsidRDefault="00016CD8" w:rsidP="00016CD8">
      <w:pPr>
        <w:widowControl w:val="0"/>
        <w:suppressAutoHyphens/>
        <w:spacing w:before="120" w:after="12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Specyfika planu polega na tym, że jest on ukierunkowany na zagadnienia cywilizacyjno-kulturowe, koncentruje się na prostych, lokalnych przedsięwzięciach, które prowadzić mają do poprawy standardu i jakości życia mieszkańców. Ma mniej pro-gospodarczy, a bardziej pro-społeczny i pro-kulturowy charakter. I dzięki temu może stanowić doskonałe uzupełnienie strategii rozwoju całej gminy, która zazwyczaj koncentruje się na zagadnieniach infrastrukturalnych i gospodarczych. </w:t>
      </w:r>
    </w:p>
    <w:p w:rsidR="00016CD8" w:rsidRPr="00016CD8" w:rsidRDefault="00016CD8" w:rsidP="00016CD8">
      <w:pPr>
        <w:widowControl w:val="0"/>
        <w:suppressAutoHyphens/>
        <w:spacing w:before="120" w:after="12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Celem planu jest podtrzymanie lub odtworzenie atrakcyjności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wsi jako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miejsca zamieszkania i zaplanowanie oraz przeprowadzenie tego w sposób dostępny, oczekiwany i popierany oraz wykonalny dla lokalnej społeczności. Jest to szczególnie ważne w dzisiejszej sytuacji, gdy miasta oferują konkurencyjną alternatywę zamieszkania, a rolnictwo traci swą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atrakcyjność jako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źródło utrzymania, co prowadzi m.in. do migracji młodych ludzi, szczególnie tych lepiej wykształconych ze wsi do miasta. </w:t>
      </w:r>
    </w:p>
    <w:p w:rsidR="00016CD8" w:rsidRPr="00016CD8" w:rsidRDefault="00016CD8" w:rsidP="00016CD8">
      <w:pPr>
        <w:widowControl w:val="0"/>
        <w:suppressAutoHyphens/>
        <w:spacing w:before="120" w:after="12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Idea odnowy wsi wyrasta z przekonania, że odnowiona, doinwestowana i ożywiona kulturowo wieś odzyska swoją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atrakcyjność </w:t>
      </w: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>jako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miejsce zamieszkania, zapewni swoim mieszkańcom godziwy standard i jakość życia oraz zdoła zatrzymać młodzież na miejscu.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Nie jako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„mini-miasto”, wysoko zurbanizowana i konkurująca z ośrodkami miejskimi bogactwem oferty, ale właśnie jako „nowa wieś”, nowoczesna, lecz ceniąca i zachowująca swój wiejski charakter i kulturową specyfikę. </w:t>
      </w:r>
    </w:p>
    <w:p w:rsidR="00016CD8" w:rsidRPr="00016CD8" w:rsidRDefault="00016CD8" w:rsidP="00016CD8">
      <w:pPr>
        <w:widowControl w:val="0"/>
        <w:suppressAutoHyphens/>
        <w:spacing w:before="120" w:after="12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Plan Odnowy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ma więc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charakter „planu małych kroków”, ale w kierunku wielkich celów. Małych kroków, które podejmowane przez mieszkańców przy finansowym i organizacyjnym wsparciu gminy doprowadzić mają do trwałej poprawy miejscowych warunków życia.</w:t>
      </w:r>
    </w:p>
    <w:p w:rsidR="00016CD8" w:rsidRPr="00016CD8" w:rsidRDefault="00016CD8" w:rsidP="00016CD8">
      <w:pPr>
        <w:widowControl w:val="0"/>
        <w:suppressAutoHyphens/>
        <w:spacing w:before="240" w:after="0" w:line="360" w:lineRule="auto"/>
        <w:jc w:val="both"/>
        <w:rPr>
          <w:rFonts w:ascii="Tahoma" w:eastAsia="Lucida Sans Unicode" w:hAnsi="Tahoma" w:cs="Tahoma"/>
          <w:bCs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Cs/>
          <w:color w:val="000000"/>
          <w:sz w:val="28"/>
          <w:szCs w:val="28"/>
          <w:lang/>
        </w:rPr>
        <w:t>Korzyści wynikające z posiadania Planu Odnowy:</w:t>
      </w:r>
    </w:p>
    <w:p w:rsidR="00016CD8" w:rsidRPr="00016CD8" w:rsidRDefault="00016CD8" w:rsidP="00016CD8">
      <w:pPr>
        <w:widowControl w:val="0"/>
        <w:numPr>
          <w:ilvl w:val="0"/>
          <w:numId w:val="3"/>
        </w:numPr>
        <w:tabs>
          <w:tab w:val="num" w:pos="540"/>
        </w:tabs>
        <w:suppressAutoHyphens/>
        <w:spacing w:after="0" w:line="360" w:lineRule="auto"/>
        <w:ind w:left="540" w:hanging="540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Plan umożliwia efektywne gospodarowanie zasobami takimi, jak środowisko, ludzie, infrastruktura i środki finansowe.</w:t>
      </w:r>
    </w:p>
    <w:p w:rsidR="00016CD8" w:rsidRPr="00016CD8" w:rsidRDefault="00016CD8" w:rsidP="00016CD8">
      <w:pPr>
        <w:widowControl w:val="0"/>
        <w:numPr>
          <w:ilvl w:val="0"/>
          <w:numId w:val="3"/>
        </w:numPr>
        <w:tabs>
          <w:tab w:val="num" w:pos="540"/>
        </w:tabs>
        <w:suppressAutoHyphens/>
        <w:spacing w:after="0" w:line="360" w:lineRule="auto"/>
        <w:ind w:left="540" w:hanging="540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Zapisanie tego procesu w formie dokumentu umożliwia stałą ocenę postępów i korygowanie błędów przez wszystkich członków społeczności lokalnej.</w:t>
      </w:r>
    </w:p>
    <w:p w:rsidR="00016CD8" w:rsidRPr="00016CD8" w:rsidRDefault="00016CD8" w:rsidP="00016CD8">
      <w:pPr>
        <w:widowControl w:val="0"/>
        <w:numPr>
          <w:ilvl w:val="0"/>
          <w:numId w:val="3"/>
        </w:numPr>
        <w:tabs>
          <w:tab w:val="num" w:pos="540"/>
        </w:tabs>
        <w:suppressAutoHyphens/>
        <w:spacing w:after="0" w:line="360" w:lineRule="auto"/>
        <w:ind w:left="540" w:hanging="540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Dokument umożliwia zaangażowanie władz lokalnych oraz mieszkańców w planowanie swojej przyszłości. Uwzględnienie różnych opinii, pomysłów i koncepcji często wymaga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consensusu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. Osiągnięty na drodze otwartej dyskusji pozwala na wypracowanie strategii, z którą będzie identyfikowała się społeczność lokalna.</w:t>
      </w:r>
    </w:p>
    <w:p w:rsidR="00016CD8" w:rsidRPr="00016CD8" w:rsidRDefault="00016CD8" w:rsidP="00016CD8">
      <w:pPr>
        <w:widowControl w:val="0"/>
        <w:numPr>
          <w:ilvl w:val="0"/>
          <w:numId w:val="3"/>
        </w:numPr>
        <w:tabs>
          <w:tab w:val="num" w:pos="540"/>
        </w:tabs>
        <w:suppressAutoHyphens/>
        <w:spacing w:after="0" w:line="360" w:lineRule="auto"/>
        <w:ind w:left="540" w:hanging="540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Tworzenie Planu Odnowy sprzyja realistycznej ocenie mocnych i słabych stron miejscowości a przez to przyjrzenie się możliwościom oraz potencjalnym problemom, które mogą się pojawić w przyszłości. W ten sposób można uniknąć wielu trudności.</w:t>
      </w:r>
    </w:p>
    <w:p w:rsidR="00016CD8" w:rsidRPr="00016CD8" w:rsidRDefault="00016CD8" w:rsidP="00016CD8">
      <w:pPr>
        <w:widowControl w:val="0"/>
        <w:suppressAutoHyphens/>
        <w:spacing w:before="120" w:after="0" w:line="360" w:lineRule="auto"/>
        <w:ind w:firstLine="539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Podstawą tworzenia Planu Odnowy jest zdanie sobie sprawy z lokalnych zasobów i potencjałów, zmobilizowanie ich, zainwestowanie w rozwój i stworzenie systemu działań partnerskich tak, aby uzyskać efekt </w:t>
      </w: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>żywiołowego przyrastania inicjatyw i kumulowania się ich skutków.</w:t>
      </w:r>
    </w:p>
    <w:p w:rsidR="00016CD8" w:rsidRPr="00016CD8" w:rsidRDefault="00016CD8" w:rsidP="00016CD8">
      <w:pPr>
        <w:widowControl w:val="0"/>
        <w:suppressAutoHyphens/>
        <w:spacing w:after="12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  <w:t xml:space="preserve">          </w:t>
      </w: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Projekt wprowadzonych do Planu zadań powstał w oparciu o wytyczne środowiska lokalnego i konsultacji społecznych.</w:t>
      </w:r>
    </w:p>
    <w:p w:rsidR="00016CD8" w:rsidRPr="00016CD8" w:rsidRDefault="00016CD8" w:rsidP="00016CD8">
      <w:pPr>
        <w:widowControl w:val="0"/>
        <w:suppressAutoHyphens/>
        <w:spacing w:after="12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t>I. CHARAKTERYSTYKA MIEJSCOWŚCI GRÓJEC: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Położenie miejscowości, przynależność administracyjna, powierzchnia, liczba ludności.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4"/>
          <w:szCs w:val="24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 xml:space="preserve">1.POŁOŻENIE ADMINISTRACYJNO – GEOGRAFICZNE </w:t>
      </w:r>
    </w:p>
    <w:p w:rsidR="00016CD8" w:rsidRPr="00016CD8" w:rsidRDefault="00016CD8" w:rsidP="00016CD8">
      <w:pPr>
        <w:widowControl w:val="0"/>
        <w:suppressAutoHyphens/>
        <w:spacing w:after="12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Miejscowość Grójec jest jedną z 20 sołectw wyodrębnionych w podziale administracyjnym gminy Boniewo w jej zachodniej części położonej w województwie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kujawsko-pomorskim , 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 powiecie</w:t>
      </w:r>
      <w:r w:rsidRPr="00016CD8">
        <w:rPr>
          <w:rFonts w:ascii="Tahoma" w:eastAsia="Lucida Sans Unicode" w:hAnsi="Tahoma" w:cs="Tahoma"/>
          <w:color w:val="000000"/>
          <w:sz w:val="24"/>
          <w:szCs w:val="24"/>
          <w:lang/>
        </w:rPr>
        <w:t xml:space="preserve"> </w:t>
      </w: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włocławskim.</w:t>
      </w:r>
    </w:p>
    <w:p w:rsidR="00016CD8" w:rsidRPr="00016CD8" w:rsidRDefault="00016CD8" w:rsidP="00016CD8">
      <w:pPr>
        <w:widowControl w:val="0"/>
        <w:suppressAutoHyphens/>
        <w:spacing w:after="12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Poniższa mapa ukazuje Miejscowość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Grójec  na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tle gminy Boniewo.</w:t>
      </w:r>
    </w:p>
    <w:p w:rsidR="00016CD8" w:rsidRPr="00016CD8" w:rsidRDefault="00016CD8" w:rsidP="00016CD8">
      <w:pPr>
        <w:widowControl w:val="0"/>
        <w:suppressAutoHyphens/>
        <w:spacing w:after="12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12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120" w:line="24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imes New Roman" w:eastAsia="TimesNewRoman" w:hAnsi="Times New Roman" w:cs="Times New Roman"/>
          <w:noProof/>
          <w:color w:val="000000"/>
          <w:lang w:eastAsia="pl-PL"/>
        </w:rPr>
        <w:lastRenderedPageBreak/>
        <w:drawing>
          <wp:inline distT="0" distB="0" distL="0" distR="0">
            <wp:extent cx="5610225" cy="6286500"/>
            <wp:effectExtent l="0" t="0" r="9525" b="0"/>
            <wp:docPr id="24" name="Obraz 24" descr="mapa gmina Boniewo_(640_x_480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pa gmina Boniewo_(640_x_480)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628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 xml:space="preserve">Źródło. Plan rozwoju Lokalnego gminy Boniewo. Gmina </w:t>
      </w:r>
      <w:proofErr w:type="spellStart"/>
      <w:r w:rsidRPr="00016CD8">
        <w:rPr>
          <w:rFonts w:ascii="Tahoma" w:eastAsia="Lucida Sans Unicode" w:hAnsi="Tahoma" w:cs="Tahoma"/>
          <w:i/>
          <w:color w:val="000000"/>
          <w:lang/>
        </w:rPr>
        <w:t>boniewo</w:t>
      </w:r>
      <w:proofErr w:type="spellEnd"/>
      <w:r w:rsidRPr="00016CD8">
        <w:rPr>
          <w:rFonts w:ascii="Tahoma" w:eastAsia="Lucida Sans Unicode" w:hAnsi="Tahoma" w:cs="Tahoma"/>
          <w:i/>
          <w:color w:val="000000"/>
          <w:lang/>
        </w:rPr>
        <w:t>-sołectwa.</w:t>
      </w: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120" w:line="24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i/>
          <w:iCs/>
          <w:noProof/>
          <w:color w:val="000000"/>
          <w:sz w:val="16"/>
          <w:szCs w:val="16"/>
          <w:lang w:eastAsia="pl-PL"/>
        </w:rPr>
        <w:lastRenderedPageBreak/>
        <w:drawing>
          <wp:inline distT="0" distB="0" distL="0" distR="0">
            <wp:extent cx="4495800" cy="5924550"/>
            <wp:effectExtent l="0" t="0" r="0" b="0"/>
            <wp:docPr id="23" name="Obraz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0" cy="592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Źródło. Strategia Rozwoju Gminy Boniewo. Infrastruktura techniczna miejscowości na tle gminy Boniewo.</w:t>
      </w: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12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016CD8">
        <w:rPr>
          <w:rFonts w:ascii="Tahoma" w:eastAsia="Times New Roman" w:hAnsi="Tahoma" w:cs="Tahoma"/>
          <w:b/>
          <w:sz w:val="28"/>
          <w:szCs w:val="28"/>
          <w:lang w:eastAsia="pl-PL"/>
        </w:rPr>
        <w:lastRenderedPageBreak/>
        <w:t xml:space="preserve">2. Przynależność </w:t>
      </w:r>
      <w:proofErr w:type="gramStart"/>
      <w:r w:rsidRPr="00016CD8">
        <w:rPr>
          <w:rFonts w:ascii="Tahoma" w:eastAsia="Times New Roman" w:hAnsi="Tahoma" w:cs="Tahoma"/>
          <w:b/>
          <w:sz w:val="28"/>
          <w:szCs w:val="28"/>
          <w:lang w:eastAsia="pl-PL"/>
        </w:rPr>
        <w:t>administracyjna</w:t>
      </w:r>
      <w:r w:rsidRPr="00016CD8">
        <w:rPr>
          <w:rFonts w:ascii="Tahoma" w:eastAsia="Times New Roman" w:hAnsi="Tahoma" w:cs="Tahoma"/>
          <w:sz w:val="28"/>
          <w:szCs w:val="28"/>
          <w:lang w:eastAsia="pl-PL"/>
        </w:rPr>
        <w:t xml:space="preserve"> .</w:t>
      </w:r>
      <w:proofErr w:type="gramEnd"/>
    </w:p>
    <w:p w:rsidR="00016CD8" w:rsidRPr="00016CD8" w:rsidRDefault="00016CD8" w:rsidP="00016CD8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r w:rsidRPr="00016CD8">
        <w:rPr>
          <w:rFonts w:ascii="Tahoma" w:eastAsia="Times New Roman" w:hAnsi="Tahoma" w:cs="Tahoma"/>
          <w:sz w:val="28"/>
          <w:szCs w:val="28"/>
          <w:lang w:eastAsia="pl-PL"/>
        </w:rPr>
        <w:t xml:space="preserve">Miejscowość Grójec przynależy administracyjnie do gminy </w:t>
      </w:r>
      <w:proofErr w:type="gramStart"/>
      <w:r w:rsidRPr="00016CD8">
        <w:rPr>
          <w:rFonts w:ascii="Tahoma" w:eastAsia="Times New Roman" w:hAnsi="Tahoma" w:cs="Tahoma"/>
          <w:sz w:val="28"/>
          <w:szCs w:val="28"/>
          <w:lang w:eastAsia="pl-PL"/>
        </w:rPr>
        <w:t xml:space="preserve">Boniewo , </w:t>
      </w:r>
      <w:proofErr w:type="gramEnd"/>
      <w:r w:rsidRPr="00016CD8">
        <w:rPr>
          <w:rFonts w:ascii="Tahoma" w:eastAsia="Times New Roman" w:hAnsi="Tahoma" w:cs="Tahoma"/>
          <w:sz w:val="28"/>
          <w:szCs w:val="28"/>
          <w:lang w:eastAsia="pl-PL"/>
        </w:rPr>
        <w:t>powiat włocławski, województwo kujawsko-pomorskie.  .</w:t>
      </w:r>
    </w:p>
    <w:p w:rsidR="00016CD8" w:rsidRPr="00016CD8" w:rsidRDefault="00016CD8" w:rsidP="00016CD8">
      <w:pPr>
        <w:spacing w:before="100" w:beforeAutospacing="1" w:after="100" w:afterAutospacing="1" w:line="360" w:lineRule="auto"/>
        <w:jc w:val="both"/>
        <w:rPr>
          <w:rFonts w:ascii="Tahoma" w:eastAsia="Times New Roman" w:hAnsi="Tahoma" w:cs="Tahoma"/>
          <w:sz w:val="28"/>
          <w:szCs w:val="28"/>
          <w:lang w:eastAsia="pl-PL"/>
        </w:rPr>
      </w:pPr>
      <w:hyperlink r:id="rId10" w:tooltip="Podział administracyjny Polski 1975-1998" w:history="1">
        <w:r w:rsidRPr="00016CD8">
          <w:rPr>
            <w:rFonts w:ascii="Tahoma" w:eastAsia="StarSymbol" w:hAnsi="Tahoma" w:cs="Tahoma"/>
            <w:sz w:val="28"/>
            <w:szCs w:val="28"/>
            <w:lang w:eastAsia="pl-PL"/>
          </w:rPr>
          <w:t>W latach 1975-1998</w:t>
        </w:r>
      </w:hyperlink>
      <w:r w:rsidRPr="00016CD8">
        <w:rPr>
          <w:rFonts w:ascii="Tahoma" w:eastAsia="Times New Roman" w:hAnsi="Tahoma" w:cs="Tahoma"/>
          <w:sz w:val="28"/>
          <w:szCs w:val="28"/>
          <w:lang w:eastAsia="pl-PL"/>
        </w:rPr>
        <w:t xml:space="preserve"> miejscowość administracyjnie należała do </w:t>
      </w:r>
      <w:hyperlink r:id="rId11" w:tooltip="Województwo włocławskie" w:history="1">
        <w:r w:rsidRPr="00016CD8">
          <w:rPr>
            <w:rFonts w:ascii="Tahoma" w:eastAsia="StarSymbol" w:hAnsi="Tahoma" w:cs="Tahoma"/>
            <w:sz w:val="28"/>
            <w:szCs w:val="28"/>
            <w:lang w:eastAsia="pl-PL"/>
          </w:rPr>
          <w:t>województwa włocławskiego</w:t>
        </w:r>
      </w:hyperlink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3. Powierzchnia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Powierzchnia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miejscowości  wg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stanu na dzień 1 stycznia  2015 roku wynosi 232 ha,  w tym powierzchnia lasów 14,63 ha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 xml:space="preserve">4. Ludność.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Ogólna liczba ludności wg stanu na dzień 31 grudnia 2014 roku – 115 osób. Liczba gospodarstw domowych 61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5.Historia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Miejscowość Grójec dawna nazwa Grodztwo zgodnie ze słownikiem Królestwa Polskiego i innych krajów słowiańskich Warszawa 1880 roku znaczyło miejsce ogrodzone warowne, zabezpieczone od nieprzyjaciół.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 1674 roku po wojnach szwedzkich miejscowość została zniszczona.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 1779 roku należała do Teofila Sikorskiego, który postawił drewnianą Kaplicę na szczycie grodziska II.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lastRenderedPageBreak/>
        <w:drawing>
          <wp:inline distT="0" distB="0" distL="0" distR="0">
            <wp:extent cx="2819400" cy="3762375"/>
            <wp:effectExtent l="0" t="0" r="0" b="9525"/>
            <wp:docPr id="22" name="Obraz 22" descr="SSA52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SA5203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762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własne. Tablica pamiątkowa znajduje się aktualnie na murach odbudowanej Kaplicy.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Od 1793 do 1806 miejscowość Grójec znajdowała się pod zaborem pruskim.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Od 1851 roku Grójec należał do dziedziców Michała i Teresy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Wodzyńskich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1880 roku miejscowość należała do gminy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Pyszkowo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, w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skład której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wchodziły:</w:t>
      </w:r>
    </w:p>
    <w:p w:rsidR="00016CD8" w:rsidRPr="00016CD8" w:rsidRDefault="00016CD8" w:rsidP="00016CD8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Folwark Grójec,</w:t>
      </w:r>
    </w:p>
    <w:p w:rsidR="00016CD8" w:rsidRPr="00016CD8" w:rsidRDefault="00016CD8" w:rsidP="00016CD8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Michałowo,</w:t>
      </w:r>
    </w:p>
    <w:p w:rsidR="00016CD8" w:rsidRPr="00016CD8" w:rsidRDefault="00016CD8" w:rsidP="00016CD8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Nomenklatura Dębina,</w:t>
      </w:r>
    </w:p>
    <w:p w:rsidR="00016CD8" w:rsidRPr="00016CD8" w:rsidRDefault="00016CD8" w:rsidP="00016CD8">
      <w:pPr>
        <w:widowControl w:val="0"/>
        <w:numPr>
          <w:ilvl w:val="0"/>
          <w:numId w:val="4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Wieś Grójec.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Ogółem powierzchnia wynosiła </w:t>
      </w:r>
      <w:smartTag w:uri="urn:schemas-microsoft-com:office:smarttags" w:element="metricconverter">
        <w:smartTagPr>
          <w:attr w:name="ProductID" w:val="793 ha"/>
        </w:smartTagPr>
        <w:r w:rsidRPr="00016CD8">
          <w:rPr>
            <w:rFonts w:ascii="Tahoma" w:eastAsia="Lucida Sans Unicode" w:hAnsi="Tahoma" w:cs="Tahoma"/>
            <w:color w:val="000000"/>
            <w:sz w:val="28"/>
            <w:szCs w:val="28"/>
            <w:lang/>
          </w:rPr>
          <w:t>793 ha</w:t>
        </w:r>
      </w:smartTag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Miejscowość Grójec została podzielona na dwa Grodziska obronne:</w:t>
      </w:r>
    </w:p>
    <w:p w:rsidR="00016CD8" w:rsidRPr="00016CD8" w:rsidRDefault="00016CD8" w:rsidP="00016CD8">
      <w:pPr>
        <w:widowControl w:val="0"/>
        <w:numPr>
          <w:ilvl w:val="0"/>
          <w:numId w:val="5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znajdowało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się przy jeziorze Grójec, gdzie znajdował się park </w:t>
      </w: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>oraz zabudowania dziedzica,</w:t>
      </w:r>
    </w:p>
    <w:p w:rsidR="00016CD8" w:rsidRPr="00016CD8" w:rsidRDefault="00016CD8" w:rsidP="00016CD8">
      <w:pPr>
        <w:widowControl w:val="0"/>
        <w:numPr>
          <w:ilvl w:val="0"/>
          <w:numId w:val="5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na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wzniesieniu  z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wybudowaną kaplicą św. Krzyża.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360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Obydwa grodziska otoczone tarasami obronnymi i służyły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mieszkańcom  jako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schronienie przed najeźdźcami.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II Grodzisko było również schronieniem dla powstańców styczniowych, którymi opiekował się ksiądz mieszkający w majątku dziedzica.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Po śmierci Wodzińskich, majątkiem zarządzała ich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córka 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Sojecka</w:t>
      </w:r>
      <w:proofErr w:type="spellEnd"/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z domu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Wodzyńska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Wśród mieszkańców krąży legenda dotycząca powstania chrześcijaństwa na terenie Grójca.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i/>
          <w:color w:val="000000"/>
          <w:sz w:val="28"/>
          <w:szCs w:val="28"/>
          <w:lang/>
        </w:rPr>
        <w:t xml:space="preserve">“ Pierwsi mieszkańcy Grójca to ludność pogańska, która na terenie II Grodziska odprawiała obrzędy pogańskie ku czci pogańskich bóstw. Pewnego dnia na teren Grójca przybył wędrujący po kraju Misjonarz głoszący słowo </w:t>
      </w:r>
      <w:proofErr w:type="gramStart"/>
      <w:r w:rsidRPr="00016CD8">
        <w:rPr>
          <w:rFonts w:ascii="Tahoma" w:eastAsia="Lucida Sans Unicode" w:hAnsi="Tahoma" w:cs="Tahoma"/>
          <w:i/>
          <w:color w:val="000000"/>
          <w:sz w:val="28"/>
          <w:szCs w:val="28"/>
          <w:lang/>
        </w:rPr>
        <w:t>Boże . Efektem czego</w:t>
      </w:r>
      <w:proofErr w:type="gramEnd"/>
      <w:r w:rsidRPr="00016CD8">
        <w:rPr>
          <w:rFonts w:ascii="Tahoma" w:eastAsia="Lucida Sans Unicode" w:hAnsi="Tahoma" w:cs="Tahoma"/>
          <w:i/>
          <w:color w:val="000000"/>
          <w:sz w:val="28"/>
          <w:szCs w:val="28"/>
          <w:lang/>
        </w:rPr>
        <w:t xml:space="preserve"> było pozyskiwanie wiernych wśród mieszkańców a z czasem porzucenie pogaństwa i przyjęcie chrztu świętego. Pamiątką tego było usytuowanie krzyża na najwyższym punkcie w Grodztwa.”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Aktualnie po II grodzisku pozostało wzniesienie z odbudowaną kaplicą św. Krzyża, natomiast I grodzisko należy do prywatnego właściciela, w którym zachowały się fragmenty tarasów obronnych, położone nad jeziorem Grójec.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lastRenderedPageBreak/>
        <w:drawing>
          <wp:inline distT="0" distB="0" distL="0" distR="0">
            <wp:extent cx="4400550" cy="3143250"/>
            <wp:effectExtent l="0" t="0" r="0" b="0"/>
            <wp:docPr id="21" name="Obraz 21" descr="Znalezione obrazy dla zapytania boniew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Znalezione obrazy dla zapytania boniew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 xml:space="preserve">Kaplica św. Krzyża opracowanie własne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6.Powierzchnia ziemi: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Rzeźba terenu miejscowości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Grójec  jest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zróżnicowana i urozmaicona, ukształtowana podczas zlodowacenia północnopolskiego.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Formą pochodzenia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lodowcowego  jest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wysoczyzna morenowa falista biegnąca od miejscowości Sułkówek przez Grójec. Wysokości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bezwzględne  wynoszą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100-</w:t>
      </w:r>
      <w:smartTag w:uri="urn:schemas-microsoft-com:office:smarttags" w:element="metricconverter">
        <w:smartTagPr>
          <w:attr w:name="ProductID" w:val="104 m"/>
        </w:smartTagPr>
        <w:r w:rsidRPr="00016CD8">
          <w:rPr>
            <w:rFonts w:ascii="Tahoma" w:eastAsia="Lucida Sans Unicode" w:hAnsi="Tahoma" w:cs="Tahoma"/>
            <w:color w:val="000000"/>
            <w:sz w:val="28"/>
            <w:szCs w:val="28"/>
            <w:lang/>
          </w:rPr>
          <w:t>104 m</w:t>
        </w:r>
      </w:smartTag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npm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, lokalnie w miejscach bardziej pagórkowatych dochodzą do </w:t>
      </w:r>
      <w:smartTag w:uri="urn:schemas-microsoft-com:office:smarttags" w:element="metricconverter">
        <w:smartTagPr>
          <w:attr w:name="ProductID" w:val="106 m"/>
        </w:smartTagPr>
        <w:r w:rsidRPr="00016CD8">
          <w:rPr>
            <w:rFonts w:ascii="Tahoma" w:eastAsia="Lucida Sans Unicode" w:hAnsi="Tahoma" w:cs="Tahoma"/>
            <w:color w:val="000000"/>
            <w:sz w:val="28"/>
            <w:szCs w:val="28"/>
            <w:lang/>
          </w:rPr>
          <w:t>106 m</w:t>
        </w:r>
      </w:smartTag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npm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Do form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wodnolodowcowych  należy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rynna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subglacjana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stanowiąca odgałęzienie jezior Ługowskiego oraz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Lubienieckiego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. Poprzez drobne zagłębienia rynny jest połączona z jeziorem Grójeckim, stanowiącym jej zakończenie.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bCs/>
          <w:color w:val="000000"/>
          <w:sz w:val="30"/>
          <w:szCs w:val="30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bCs/>
          <w:color w:val="000000"/>
          <w:sz w:val="28"/>
          <w:szCs w:val="28"/>
          <w:lang/>
        </w:rPr>
        <w:lastRenderedPageBreak/>
        <w:t>7.Typ zabudowy: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30"/>
          <w:szCs w:val="30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ind w:left="360"/>
        <w:jc w:val="both"/>
        <w:rPr>
          <w:rFonts w:ascii="Times New Roman" w:eastAsia="Lucida Sans Unicode" w:hAnsi="Times New Roman" w:cs="Times New Roman"/>
          <w:b/>
          <w:bCs/>
          <w:color w:val="000000"/>
          <w:sz w:val="30"/>
          <w:szCs w:val="30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Miejscowość Grójec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to  domy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 jednorodzinne usytuowanych  w centrum wzdłuż dróg gminny. Obrzeża Grójca charakteryzują się zabudową rozproszoną.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Prywatne posesje to estetyczne, zadbane obejścia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gospodarskie . 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Ogródki przed domami posiadają piękne trawniki z ozdobnymi krzewami. Każdej wiosny można obserwować zmieniający się wygląd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wsi , 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piękniejące ogródki, estetyczne obejścia, pięknie przyozdobione w okresie świąt.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4295775" cy="3219450"/>
            <wp:effectExtent l="0" t="0" r="9525" b="0"/>
            <wp:docPr id="20" name="Obraz 20" descr="ogródk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gródki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imes New Roman" w:eastAsia="Lucida Sans Unicode" w:hAnsi="Times New Roman" w:cs="Times New Roman"/>
          <w:i/>
          <w:color w:val="000000"/>
          <w:lang/>
        </w:rPr>
        <w:t>Opracowanie własne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Domy mieszkalne to budynki wolno stojące jedno lub dwu poziomowe</w:t>
      </w:r>
      <w:r w:rsidRPr="00016CD8"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  <w:t>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ind w:left="360"/>
        <w:jc w:val="center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8"/>
          <w:szCs w:val="28"/>
          <w:lang w:eastAsia="pl-PL"/>
        </w:rPr>
        <w:lastRenderedPageBreak/>
        <w:drawing>
          <wp:inline distT="0" distB="0" distL="0" distR="0">
            <wp:extent cx="3514725" cy="2628900"/>
            <wp:effectExtent l="0" t="0" r="9525" b="0"/>
            <wp:docPr id="19" name="Obraz 19" descr="okolica do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kolica domy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628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i/>
          <w:color w:val="000000"/>
          <w:lang/>
        </w:rPr>
      </w:pPr>
      <w:r w:rsidRPr="00016CD8">
        <w:rPr>
          <w:rFonts w:ascii="Times New Roman" w:eastAsia="Lucida Sans Unicode" w:hAnsi="Times New Roman" w:cs="Times New Roman"/>
          <w:i/>
          <w:color w:val="000000"/>
          <w:lang/>
        </w:rPr>
        <w:t>Opracowanie własne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ahoma" w:eastAsia="Lucida Sans Unicode" w:hAnsi="Tahoma" w:cs="Tahoma"/>
          <w:color w:val="000000"/>
          <w:sz w:val="32"/>
          <w:szCs w:val="32"/>
          <w:lang/>
        </w:rPr>
      </w:pPr>
      <w:r>
        <w:rPr>
          <w:rFonts w:ascii="Tahoma" w:eastAsia="Lucida Sans Unicode" w:hAnsi="Tahoma" w:cs="Tahoma"/>
          <w:noProof/>
          <w:color w:val="000000"/>
          <w:sz w:val="32"/>
          <w:szCs w:val="32"/>
          <w:lang w:eastAsia="pl-PL"/>
        </w:rPr>
        <w:drawing>
          <wp:inline distT="0" distB="0" distL="0" distR="0">
            <wp:extent cx="3543300" cy="2657475"/>
            <wp:effectExtent l="0" t="0" r="0" b="9525"/>
            <wp:docPr id="18" name="Obraz 18" descr="domy gróje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omy grójec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657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i/>
          <w:color w:val="000000"/>
          <w:lang/>
        </w:rPr>
      </w:pPr>
      <w:r w:rsidRPr="00016CD8">
        <w:rPr>
          <w:rFonts w:ascii="Times New Roman" w:eastAsia="Lucida Sans Unicode" w:hAnsi="Times New Roman" w:cs="Times New Roman"/>
          <w:i/>
          <w:color w:val="000000"/>
          <w:lang/>
        </w:rPr>
        <w:t>Opracowanie własne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32"/>
          <w:szCs w:val="32"/>
          <w:lang/>
        </w:rPr>
      </w:pPr>
      <w:r w:rsidRPr="00016CD8">
        <w:rPr>
          <w:rFonts w:ascii="Tahoma" w:eastAsia="Lucida Sans Unicode" w:hAnsi="Tahoma" w:cs="Tahoma"/>
          <w:color w:val="000000"/>
          <w:sz w:val="32"/>
          <w:szCs w:val="32"/>
          <w:lang/>
        </w:rPr>
        <w:lastRenderedPageBreak/>
        <w:t>II. Inwentaryzacja zasobów miejscowości: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numPr>
          <w:ilvl w:val="1"/>
          <w:numId w:val="1"/>
        </w:numPr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Zasoby przyrodnicze: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i/>
          <w:iCs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3781425" cy="4772025"/>
            <wp:effectExtent l="0" t="0" r="9525" b="9525"/>
            <wp:docPr id="17" name="Obraz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477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Teren miejscowości Grójec pokrywają lasy będące własnością prywatną oraz państwową w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ilości 14,63  ha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, co stanowi 6 % ogólnej powierzchni miejscowości.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Lasy państwowe należące do Skarbu Państwa, i są w zarządzie Nadleśnictwa Kutno z siedzibą w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Chrośnie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85"/>
        <w:gridCol w:w="2268"/>
        <w:gridCol w:w="3402"/>
      </w:tblGrid>
      <w:tr w:rsidR="00016CD8" w:rsidRPr="00016CD8" w:rsidTr="009E546A">
        <w:tc>
          <w:tcPr>
            <w:tcW w:w="3085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Ogólna powierzchnia/ha/</w:t>
            </w:r>
          </w:p>
        </w:tc>
        <w:tc>
          <w:tcPr>
            <w:tcW w:w="2268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 xml:space="preserve">Lasy do 40 lat </w:t>
            </w:r>
          </w:p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/ha/</w:t>
            </w:r>
          </w:p>
        </w:tc>
        <w:tc>
          <w:tcPr>
            <w:tcW w:w="3402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 xml:space="preserve">Lasy powyżej 40 lat </w:t>
            </w:r>
          </w:p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/ ha/</w:t>
            </w:r>
          </w:p>
        </w:tc>
      </w:tr>
      <w:tr w:rsidR="00016CD8" w:rsidRPr="00016CD8" w:rsidTr="009E546A">
        <w:tc>
          <w:tcPr>
            <w:tcW w:w="3085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14,63</w:t>
            </w:r>
          </w:p>
        </w:tc>
        <w:tc>
          <w:tcPr>
            <w:tcW w:w="2268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9,62</w:t>
            </w:r>
          </w:p>
        </w:tc>
        <w:tc>
          <w:tcPr>
            <w:tcW w:w="3402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5,01</w:t>
            </w:r>
          </w:p>
        </w:tc>
      </w:tr>
    </w:tbl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color w:val="000000"/>
          <w:lang/>
        </w:rPr>
      </w:pPr>
      <w:r w:rsidRPr="00016CD8">
        <w:rPr>
          <w:rFonts w:ascii="Times New Roman" w:eastAsia="Lucida Sans Unicode" w:hAnsi="Times New Roman" w:cs="Times New Roman"/>
          <w:i/>
          <w:color w:val="000000"/>
          <w:lang/>
        </w:rPr>
        <w:t>Źródło; UG Boniewo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4581525" cy="2752725"/>
            <wp:effectExtent l="0" t="0" r="0" b="0"/>
            <wp:docPr id="16" name="Wykres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i/>
          <w:color w:val="000000"/>
          <w:lang/>
        </w:rPr>
      </w:pPr>
      <w:r w:rsidRPr="00016CD8">
        <w:rPr>
          <w:rFonts w:ascii="Times New Roman" w:eastAsia="Lucida Sans Unicode" w:hAnsi="Times New Roman" w:cs="Times New Roman"/>
          <w:i/>
          <w:color w:val="000000"/>
          <w:lang/>
        </w:rPr>
        <w:t>Opracowanie własne. Powierzchnia lasów.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Zadrzewienia odgrywają dużą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rolę  jako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składnik krajobrazu wpływający na warunki środowiska przyrodniczego miejscowości:</w:t>
      </w:r>
    </w:p>
    <w:p w:rsidR="00016CD8" w:rsidRPr="00016CD8" w:rsidRDefault="00016CD8" w:rsidP="00016CD8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Klimat miejscowy,</w:t>
      </w:r>
    </w:p>
    <w:p w:rsidR="00016CD8" w:rsidRPr="00016CD8" w:rsidRDefault="00016CD8" w:rsidP="00016CD8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Produkcyjność gleb,</w:t>
      </w:r>
    </w:p>
    <w:p w:rsidR="00016CD8" w:rsidRPr="00016CD8" w:rsidRDefault="00016CD8" w:rsidP="00016CD8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Stosunki wodne,</w:t>
      </w:r>
    </w:p>
    <w:p w:rsidR="00016CD8" w:rsidRPr="00016CD8" w:rsidRDefault="00016CD8" w:rsidP="00016CD8">
      <w:pPr>
        <w:widowControl w:val="0"/>
        <w:numPr>
          <w:ilvl w:val="0"/>
          <w:numId w:val="6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Cechy estetyczne krajobrazu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Wśród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zadrzewień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wyróżnia się:</w:t>
      </w:r>
    </w:p>
    <w:p w:rsidR="00016CD8" w:rsidRPr="00016CD8" w:rsidRDefault="00016CD8" w:rsidP="00016CD8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Zadrzewienia śródpolne,</w:t>
      </w:r>
    </w:p>
    <w:p w:rsidR="00016CD8" w:rsidRPr="00016CD8" w:rsidRDefault="00016CD8" w:rsidP="00016CD8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Zadrzewienia przydrożne,</w:t>
      </w:r>
    </w:p>
    <w:p w:rsidR="00016CD8" w:rsidRPr="00016CD8" w:rsidRDefault="00016CD8" w:rsidP="00016CD8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Zadrzewienia, zakrzewienia nadwodne.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left="36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left="36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left="360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left="360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lastRenderedPageBreak/>
        <w:drawing>
          <wp:inline distT="0" distB="0" distL="0" distR="0">
            <wp:extent cx="4400550" cy="3305175"/>
            <wp:effectExtent l="0" t="0" r="0" b="9525"/>
            <wp:docPr id="15" name="Obraz 15" descr="las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lasy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330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left="360"/>
        <w:jc w:val="center"/>
        <w:rPr>
          <w:rFonts w:ascii="Times New Roman" w:eastAsia="Lucida Sans Unicode" w:hAnsi="Times New Roman" w:cs="Times New Roman"/>
          <w:i/>
          <w:color w:val="000000"/>
          <w:lang/>
        </w:rPr>
      </w:pPr>
      <w:r w:rsidRPr="00016CD8">
        <w:rPr>
          <w:rFonts w:ascii="Times New Roman" w:eastAsia="Lucida Sans Unicode" w:hAnsi="Times New Roman" w:cs="Times New Roman"/>
          <w:i/>
          <w:color w:val="000000"/>
          <w:lang/>
        </w:rPr>
        <w:t>Opracowanie własne. Lasy miejscowości Grójec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left="360"/>
        <w:jc w:val="center"/>
        <w:rPr>
          <w:rFonts w:ascii="Times New Roman" w:eastAsia="Lucida Sans Unicode" w:hAnsi="Times New Roman" w:cs="Times New Roman"/>
          <w:i/>
          <w:color w:val="000000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left="360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3086100" cy="4114800"/>
            <wp:effectExtent l="0" t="0" r="0" b="0"/>
            <wp:docPr id="14" name="Obraz 14" descr="SSA52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SA5202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left="360"/>
        <w:jc w:val="center"/>
        <w:rPr>
          <w:rFonts w:ascii="Times New Roman" w:eastAsia="Lucida Sans Unicode" w:hAnsi="Times New Roman" w:cs="Times New Roman"/>
          <w:i/>
          <w:color w:val="000000"/>
          <w:lang/>
        </w:rPr>
      </w:pPr>
      <w:r w:rsidRPr="00016CD8">
        <w:rPr>
          <w:rFonts w:ascii="Times New Roman" w:eastAsia="Lucida Sans Unicode" w:hAnsi="Times New Roman" w:cs="Times New Roman"/>
          <w:i/>
          <w:color w:val="000000"/>
          <w:lang/>
        </w:rPr>
        <w:t>Opracowanie własne. Lasy miejscowości Grójec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left="360"/>
        <w:jc w:val="center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lastRenderedPageBreak/>
        <w:drawing>
          <wp:inline distT="0" distB="0" distL="0" distR="0">
            <wp:extent cx="4314825" cy="3238500"/>
            <wp:effectExtent l="0" t="0" r="9525" b="0"/>
            <wp:docPr id="13" name="Obraz 13" descr="SSA52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SA5203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left="360"/>
        <w:jc w:val="center"/>
        <w:rPr>
          <w:rFonts w:ascii="Times New Roman" w:eastAsia="Lucida Sans Unicode" w:hAnsi="Times New Roman" w:cs="Times New Roman"/>
          <w:i/>
          <w:color w:val="000000"/>
          <w:lang/>
        </w:rPr>
      </w:pPr>
      <w:r w:rsidRPr="00016CD8">
        <w:rPr>
          <w:rFonts w:ascii="Times New Roman" w:eastAsia="Lucida Sans Unicode" w:hAnsi="Times New Roman" w:cs="Times New Roman"/>
          <w:i/>
          <w:color w:val="000000"/>
          <w:lang/>
        </w:rPr>
        <w:t>Opracowanie własne. Lasy miejscowości Grójec. Widok z Grodziska II.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ind w:left="426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ind w:left="426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Wody powierzchniowe.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426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Miejscowość Grójec należy do zlewni Wisły i odwadnia jest przez dopływy Zgłowiączki-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Kociniec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III rzędu. Znaczna cześć obszaru jest zdrenowana.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426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Na terenie Grójca znajdują się dwa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jeziora : 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jezioro Grójec należące do Skarbu państwa, którego użytkownikiem jest Gospodarstwo Rybackie Zasobu Własności Rolnej Skarbu Państwa we Włocławku. Ogólna powierzchnia jeziora </w:t>
      </w:r>
      <w:smartTag w:uri="urn:schemas-microsoft-com:office:smarttags" w:element="metricconverter">
        <w:smartTagPr>
          <w:attr w:name="ProductID" w:val="27,91 ha"/>
        </w:smartTagPr>
        <w:r w:rsidRPr="00016CD8">
          <w:rPr>
            <w:rFonts w:ascii="Tahoma" w:eastAsia="Lucida Sans Unicode" w:hAnsi="Tahoma" w:cs="Tahoma"/>
            <w:color w:val="000000"/>
            <w:sz w:val="28"/>
            <w:szCs w:val="28"/>
            <w:lang/>
          </w:rPr>
          <w:t>27,91 ha</w:t>
        </w:r>
      </w:smartTag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, w tym: pastwiska -0,20ha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,lasy-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0,93ha, wody- 26,78ha. Jezioro ma charakter przepływowy z lustrem wody na wysokości 91,1m poza południowo-wschodnią częścią jego brzegi są wysokie o wyraźnie rozwiniętej linii brzegowej.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426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Roślinność porasta brzegi jeziora w sposób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zróżnicowany : 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pojedyncze drzewa, ciągi bądź kępy drzew lub niewielkie lasy. Stosunkowo bogata roślinność występuję od strony północno-wschodniej </w:t>
      </w: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 xml:space="preserve">i wschodniej jeziora.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4876800" cy="3619500"/>
            <wp:effectExtent l="0" t="0" r="0" b="0"/>
            <wp:docPr id="12" name="Obraz 12" descr="101_0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101_0227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Paweł Suty. Jezioro Grójec zimą.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>
        <w:rPr>
          <w:rFonts w:ascii="Tahoma" w:eastAsia="Lucida Sans Unicode" w:hAnsi="Tahoma" w:cs="Tahoma"/>
          <w:i/>
          <w:noProof/>
          <w:color w:val="000000"/>
          <w:lang w:eastAsia="pl-PL"/>
        </w:rPr>
        <w:drawing>
          <wp:inline distT="0" distB="0" distL="0" distR="0">
            <wp:extent cx="5038725" cy="3724275"/>
            <wp:effectExtent l="0" t="0" r="9525" b="9525"/>
            <wp:docPr id="11" name="Obraz 11" descr="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j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372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Paweł Suty. Jezioro Grójec latem.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rPr>
          <w:rFonts w:ascii="Tahoma" w:eastAsia="Lucida Sans Unicode" w:hAnsi="Tahoma" w:cs="Tahoma"/>
          <w:i/>
          <w:color w:val="000000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3219450" cy="4286250"/>
            <wp:effectExtent l="0" t="0" r="0" b="0"/>
            <wp:docPr id="10" name="Obraz 10" descr="SSA52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SA5204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428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własne. Brzeg jeziora Grójec połączony z ciekiem wodnym.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>
        <w:rPr>
          <w:rFonts w:ascii="Tahoma" w:eastAsia="Lucida Sans Unicode" w:hAnsi="Tahoma" w:cs="Tahoma"/>
          <w:i/>
          <w:noProof/>
          <w:color w:val="000000"/>
          <w:lang w:eastAsia="pl-PL"/>
        </w:rPr>
        <w:drawing>
          <wp:inline distT="0" distB="0" distL="0" distR="0">
            <wp:extent cx="4800600" cy="3600450"/>
            <wp:effectExtent l="0" t="0" r="0" b="0"/>
            <wp:docPr id="9" name="Obraz 9" descr="SSA52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SSA5203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własne. Widok na jezioro Grójec Grodziska II.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oraz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jezioro nazywane przez okoliczną społeczność „Piorunka”. Roślinność porasta brzegi jeziora w sposób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zróżnicowany : 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pojedyncze drzewa, ciągi bądź kępy drzew lub niewielkie lasy. Aktualnie nie zachowały się żadne dokumenty dotyczące powyższego jeziora.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4657725" cy="3495675"/>
            <wp:effectExtent l="0" t="0" r="9525" b="9525"/>
            <wp:docPr id="8" name="Obraz 8" descr="poo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ooo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 xml:space="preserve">Opracowanie </w:t>
      </w:r>
      <w:proofErr w:type="spellStart"/>
      <w:r w:rsidRPr="00016CD8">
        <w:rPr>
          <w:rFonts w:ascii="Tahoma" w:eastAsia="Lucida Sans Unicode" w:hAnsi="Tahoma" w:cs="Tahoma"/>
          <w:i/>
          <w:color w:val="000000"/>
          <w:lang/>
        </w:rPr>
        <w:t>własne.”Piorunka</w:t>
      </w:r>
      <w:proofErr w:type="spellEnd"/>
      <w:r w:rsidRPr="00016CD8">
        <w:rPr>
          <w:rFonts w:ascii="Tahoma" w:eastAsia="Lucida Sans Unicode" w:hAnsi="Tahoma" w:cs="Tahoma"/>
          <w:i/>
          <w:color w:val="000000"/>
          <w:lang/>
        </w:rPr>
        <w:t>”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lastRenderedPageBreak/>
        <w:drawing>
          <wp:inline distT="0" distB="0" distL="0" distR="0">
            <wp:extent cx="4686300" cy="3524250"/>
            <wp:effectExtent l="0" t="0" r="0" b="0"/>
            <wp:docPr id="7" name="Obraz 7" descr="p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pio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524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własne. ”Piorunka”.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708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Największym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zagrożeniem dla jakości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wód podziemnych są czynniki pochodzenia antropogenicznego.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W miejscowości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Grójec  najbardziej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realnym zagrożeniem są: </w:t>
      </w:r>
    </w:p>
    <w:p w:rsidR="00016CD8" w:rsidRPr="00016CD8" w:rsidRDefault="00016CD8" w:rsidP="00016CD8">
      <w:pPr>
        <w:widowControl w:val="0"/>
        <w:numPr>
          <w:ilvl w:val="0"/>
          <w:numId w:val="9"/>
        </w:numPr>
        <w:tabs>
          <w:tab w:val="left" w:pos="284"/>
          <w:tab w:val="left" w:pos="567"/>
        </w:tabs>
        <w:suppressAutoHyphens/>
        <w:autoSpaceDE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ścieki surowe lub niedostatecznie oczyszczone wprowadzane do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gleby  i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wody, </w:t>
      </w:r>
    </w:p>
    <w:p w:rsidR="00016CD8" w:rsidRPr="00016CD8" w:rsidRDefault="00016CD8" w:rsidP="00016CD8">
      <w:pPr>
        <w:widowControl w:val="0"/>
        <w:numPr>
          <w:ilvl w:val="0"/>
          <w:numId w:val="10"/>
        </w:numPr>
        <w:tabs>
          <w:tab w:val="left" w:pos="284"/>
          <w:tab w:val="left" w:pos="567"/>
        </w:tabs>
        <w:suppressAutoHyphens/>
        <w:autoSpaceDE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dzikie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wysypiska, </w:t>
      </w:r>
    </w:p>
    <w:p w:rsidR="00016CD8" w:rsidRPr="00016CD8" w:rsidRDefault="00016CD8" w:rsidP="00016CD8">
      <w:pPr>
        <w:widowControl w:val="0"/>
        <w:numPr>
          <w:ilvl w:val="0"/>
          <w:numId w:val="11"/>
        </w:numPr>
        <w:tabs>
          <w:tab w:val="left" w:pos="284"/>
          <w:tab w:val="left" w:pos="567"/>
        </w:tabs>
        <w:suppressAutoHyphens/>
        <w:autoSpaceDE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przecieki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z nieszczelnych zbiorników bezodpływowych -„szamb” oraz ich niezgodne z prawem opróżnianie, </w:t>
      </w:r>
    </w:p>
    <w:p w:rsidR="00016CD8" w:rsidRPr="00016CD8" w:rsidRDefault="00016CD8" w:rsidP="00016CD8">
      <w:pPr>
        <w:widowControl w:val="0"/>
        <w:numPr>
          <w:ilvl w:val="0"/>
          <w:numId w:val="12"/>
        </w:numPr>
        <w:tabs>
          <w:tab w:val="left" w:pos="284"/>
          <w:tab w:val="left" w:pos="567"/>
        </w:tabs>
        <w:suppressAutoHyphens/>
        <w:autoSpaceDE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grzebowiska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zwłok zwierzęcych, </w:t>
      </w:r>
    </w:p>
    <w:p w:rsidR="00016CD8" w:rsidRPr="00016CD8" w:rsidRDefault="00016CD8" w:rsidP="00016CD8">
      <w:pPr>
        <w:widowControl w:val="0"/>
        <w:numPr>
          <w:ilvl w:val="0"/>
          <w:numId w:val="13"/>
        </w:numPr>
        <w:tabs>
          <w:tab w:val="left" w:pos="284"/>
          <w:tab w:val="left" w:pos="567"/>
        </w:tabs>
        <w:suppressAutoHyphens/>
        <w:autoSpaceDE w:val="0"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intensywne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nawożenie i stosowanie</w:t>
      </w:r>
      <w:r w:rsidRPr="00016CD8">
        <w:rPr>
          <w:rFonts w:ascii="Tahoma" w:eastAsia="Lucida Sans Unicode" w:hAnsi="Tahoma" w:cs="Tahoma"/>
          <w:color w:val="000000"/>
          <w:sz w:val="24"/>
          <w:szCs w:val="24"/>
          <w:lang/>
        </w:rPr>
        <w:t xml:space="preserve"> </w:t>
      </w: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środków ochrony roślin, rolnicze wykorzystywanie ścieków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lastRenderedPageBreak/>
        <w:t xml:space="preserve"> Świat zwierząt.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Miejscowość Grójec leży na szlaku migracji zwierząt o znaczeniu regionalnym. Szlak prowadzi między lasami włocławskimi i konińskimi.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Zgodnie z informacjami Koła Łowieckiego “Darzbór”, na terenie Grójca można spotkać następujące zwierzęta;</w:t>
      </w:r>
    </w:p>
    <w:p w:rsidR="00016CD8" w:rsidRPr="00016CD8" w:rsidRDefault="00016CD8" w:rsidP="00016CD8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Sarny,</w:t>
      </w:r>
    </w:p>
    <w:p w:rsidR="00016CD8" w:rsidRPr="00016CD8" w:rsidRDefault="00016CD8" w:rsidP="00016CD8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Lisy,</w:t>
      </w:r>
    </w:p>
    <w:p w:rsidR="00016CD8" w:rsidRPr="00016CD8" w:rsidRDefault="00016CD8" w:rsidP="00016CD8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Kuny,</w:t>
      </w:r>
    </w:p>
    <w:p w:rsidR="00016CD8" w:rsidRPr="00016CD8" w:rsidRDefault="00016CD8" w:rsidP="00016CD8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Piżmaki,</w:t>
      </w:r>
    </w:p>
    <w:p w:rsidR="00016CD8" w:rsidRPr="00016CD8" w:rsidRDefault="00016CD8" w:rsidP="00016CD8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Zające,</w:t>
      </w:r>
    </w:p>
    <w:p w:rsidR="00016CD8" w:rsidRPr="00016CD8" w:rsidRDefault="00016CD8" w:rsidP="00016CD8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Bażanty,</w:t>
      </w:r>
    </w:p>
    <w:p w:rsidR="00016CD8" w:rsidRPr="00016CD8" w:rsidRDefault="00016CD8" w:rsidP="00016CD8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Kuropatwy,</w:t>
      </w:r>
    </w:p>
    <w:p w:rsidR="00016CD8" w:rsidRPr="00016CD8" w:rsidRDefault="00016CD8" w:rsidP="00016CD8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Dzikie gęsi i kaczki.</w:t>
      </w:r>
    </w:p>
    <w:p w:rsidR="00016CD8" w:rsidRPr="00016CD8" w:rsidRDefault="00016CD8" w:rsidP="00016CD8">
      <w:pPr>
        <w:widowControl w:val="0"/>
        <w:numPr>
          <w:ilvl w:val="0"/>
          <w:numId w:val="8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zaskrońce</w:t>
      </w:r>
      <w:proofErr w:type="gramEnd"/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Jezioro zasobne jest w leszcze oraz płocie.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Gleby.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Miejscowość Grójec posiada gleby należące do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najwyższej jakości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produkcyjnej z przewagą klasy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IIIa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,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IIIb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i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IVa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  <w:r w:rsidRPr="00016CD8">
        <w:rPr>
          <w:rFonts w:ascii="Tahoma" w:eastAsia="Lucida Sans Unicode" w:hAnsi="Tahoma" w:cs="Tahoma"/>
          <w:color w:val="000000"/>
          <w:sz w:val="24"/>
          <w:szCs w:val="24"/>
          <w:lang/>
        </w:rPr>
        <w:t>Powierzchnia gruntów w miejscowości Grójec.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color w:val="000000"/>
          <w:sz w:val="24"/>
          <w:szCs w:val="24"/>
          <w:lang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66"/>
        <w:gridCol w:w="706"/>
        <w:gridCol w:w="846"/>
        <w:gridCol w:w="846"/>
        <w:gridCol w:w="846"/>
        <w:gridCol w:w="846"/>
        <w:gridCol w:w="995"/>
        <w:gridCol w:w="706"/>
        <w:gridCol w:w="1010"/>
      </w:tblGrid>
      <w:tr w:rsidR="00016CD8" w:rsidRPr="00016CD8" w:rsidTr="009E546A">
        <w:tc>
          <w:tcPr>
            <w:tcW w:w="176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Ogólna powierzchnia /ha/</w:t>
            </w:r>
          </w:p>
        </w:tc>
        <w:tc>
          <w:tcPr>
            <w:tcW w:w="70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II</w:t>
            </w:r>
          </w:p>
        </w:tc>
        <w:tc>
          <w:tcPr>
            <w:tcW w:w="84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proofErr w:type="spellStart"/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IIIa</w:t>
            </w:r>
            <w:proofErr w:type="spellEnd"/>
          </w:p>
        </w:tc>
        <w:tc>
          <w:tcPr>
            <w:tcW w:w="84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proofErr w:type="spellStart"/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IIIb</w:t>
            </w:r>
            <w:proofErr w:type="spellEnd"/>
          </w:p>
        </w:tc>
        <w:tc>
          <w:tcPr>
            <w:tcW w:w="84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proofErr w:type="spellStart"/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IVa</w:t>
            </w:r>
            <w:proofErr w:type="spellEnd"/>
          </w:p>
        </w:tc>
        <w:tc>
          <w:tcPr>
            <w:tcW w:w="84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proofErr w:type="spellStart"/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IVb</w:t>
            </w:r>
            <w:proofErr w:type="spellEnd"/>
          </w:p>
        </w:tc>
        <w:tc>
          <w:tcPr>
            <w:tcW w:w="995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V</w:t>
            </w:r>
          </w:p>
        </w:tc>
        <w:tc>
          <w:tcPr>
            <w:tcW w:w="70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VI</w:t>
            </w:r>
          </w:p>
        </w:tc>
        <w:tc>
          <w:tcPr>
            <w:tcW w:w="706" w:type="dxa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 xml:space="preserve">Grunty bez klasy </w:t>
            </w:r>
          </w:p>
        </w:tc>
      </w:tr>
      <w:tr w:rsidR="00016CD8" w:rsidRPr="00016CD8" w:rsidTr="009E546A">
        <w:tc>
          <w:tcPr>
            <w:tcW w:w="176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232,11</w:t>
            </w:r>
          </w:p>
        </w:tc>
        <w:tc>
          <w:tcPr>
            <w:tcW w:w="70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8,06</w:t>
            </w:r>
          </w:p>
        </w:tc>
        <w:tc>
          <w:tcPr>
            <w:tcW w:w="84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44,93</w:t>
            </w:r>
          </w:p>
        </w:tc>
        <w:tc>
          <w:tcPr>
            <w:tcW w:w="84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80,55</w:t>
            </w:r>
          </w:p>
        </w:tc>
        <w:tc>
          <w:tcPr>
            <w:tcW w:w="84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45,92</w:t>
            </w:r>
          </w:p>
        </w:tc>
        <w:tc>
          <w:tcPr>
            <w:tcW w:w="84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 xml:space="preserve">28,12                              </w:t>
            </w:r>
          </w:p>
        </w:tc>
        <w:tc>
          <w:tcPr>
            <w:tcW w:w="995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17,73</w:t>
            </w:r>
          </w:p>
        </w:tc>
        <w:tc>
          <w:tcPr>
            <w:tcW w:w="706" w:type="dxa"/>
            <w:shd w:val="clear" w:color="auto" w:fill="auto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 xml:space="preserve">6,67    </w:t>
            </w:r>
          </w:p>
        </w:tc>
        <w:tc>
          <w:tcPr>
            <w:tcW w:w="706" w:type="dxa"/>
          </w:tcPr>
          <w:p w:rsidR="00016CD8" w:rsidRPr="00016CD8" w:rsidRDefault="00016CD8" w:rsidP="00016CD8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</w:pPr>
            <w:r w:rsidRPr="00016CD8">
              <w:rPr>
                <w:rFonts w:ascii="Times New Roman" w:eastAsia="Lucida Sans Unicode" w:hAnsi="Times New Roman" w:cs="Tahoma"/>
                <w:color w:val="000000"/>
                <w:sz w:val="28"/>
                <w:szCs w:val="28"/>
                <w:lang/>
              </w:rPr>
              <w:t>0,13</w:t>
            </w:r>
          </w:p>
        </w:tc>
      </w:tr>
    </w:tbl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i/>
          <w:color w:val="000000"/>
          <w:lang/>
        </w:rPr>
      </w:pPr>
      <w:r w:rsidRPr="00016CD8">
        <w:rPr>
          <w:rFonts w:ascii="Times New Roman" w:eastAsia="Lucida Sans Unicode" w:hAnsi="Times New Roman" w:cs="Times New Roman"/>
          <w:i/>
          <w:color w:val="000000"/>
          <w:lang/>
        </w:rPr>
        <w:t>Źródło; UG Boniewo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4"/>
          <w:szCs w:val="24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>
        <w:rPr>
          <w:rFonts w:ascii="Times New Roman" w:eastAsia="Lucida Sans Unicode" w:hAnsi="Times New Roman" w:cs="Times New Roman"/>
          <w:noProof/>
          <w:color w:val="000000"/>
          <w:sz w:val="24"/>
          <w:szCs w:val="24"/>
          <w:lang w:eastAsia="pl-PL"/>
        </w:rPr>
        <w:drawing>
          <wp:inline distT="0" distB="0" distL="0" distR="0">
            <wp:extent cx="4581525" cy="2752725"/>
            <wp:effectExtent l="0" t="0" r="0" b="0"/>
            <wp:docPr id="6" name="Wykres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własne.</w:t>
      </w:r>
      <w:r w:rsidRPr="00016CD8">
        <w:rPr>
          <w:rFonts w:ascii="Tahoma" w:eastAsia="Lucida Sans Unicode" w:hAnsi="Tahoma" w:cs="Tahoma"/>
          <w:color w:val="000000"/>
          <w:sz w:val="24"/>
          <w:szCs w:val="24"/>
          <w:lang/>
        </w:rPr>
        <w:t xml:space="preserve"> </w:t>
      </w:r>
      <w:r w:rsidRPr="00016CD8">
        <w:rPr>
          <w:rFonts w:ascii="Tahoma" w:eastAsia="Lucida Sans Unicode" w:hAnsi="Tahoma" w:cs="Tahoma"/>
          <w:i/>
          <w:color w:val="000000"/>
          <w:lang/>
        </w:rPr>
        <w:t>Powierzchnia gruntów w miejscowości Grójec.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ahoma" w:eastAsia="Lucida Sans Unicode" w:hAnsi="Tahoma" w:cs="Tahoma"/>
          <w:b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b/>
          <w:color w:val="000000"/>
          <w:sz w:val="28"/>
          <w:szCs w:val="28"/>
          <w:lang/>
        </w:rPr>
        <w:t>2. Dziedzictwo Kulturowe.</w:t>
      </w:r>
    </w:p>
    <w:p w:rsidR="00016CD8" w:rsidRPr="00016CD8" w:rsidRDefault="00016CD8" w:rsidP="00016CD8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Na terenie Grójca znajduje się kaplica św. Krzyża na wzniesieniu nazywanym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Godziskiem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II.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Kaplica  w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1951 roku została decyzją Wojewódzkiego Konserwatora Zabytków w Bydgoszczy  wpisana do rejestru zabytków. Przy kapicy za zgodą Biskupa zamieszkał Pustelnik Antoni </w:t>
      </w:r>
      <w:proofErr w:type="spell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Romolewski</w:t>
      </w:r>
      <w:proofErr w:type="spell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. Po jego śmierci Kaplica została bez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opieki . 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Ówczesne władze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komunistyczne  zabroniły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korzystania z drogi prowadzącej do Kaplicy. Brak dojazdu uniemożliwił przeprowadzenie koniecznego remontu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Kaplicy  duchownym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oraz mieszkańcom . Z uwagi na powyższe Kaplica uległa zniszczeniu. W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roku 1997  decyzją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Wojewódzkiego Konserwatora Zabytków została wykreślona z rejestru zabytków.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Aktualnie Kaplica św. Krzyża została pięknie odbudowana z inicjatywy ks. Proboszcza Jarosława Włodarza, który zainicjował odbudowanie kaplicy oraz kierował pracami budowlanymi. Obok Kaplicy </w:t>
      </w: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>znajduje się Krzyż oraz zadaszenie do odprawiania Mszy św. na powietrzu.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Prowadząc prace związane z odbudowaniem kaplicy odkopano szczątki pochowanego przy kaplicy Pustelnika, po odkopaniu grobu okazało się, że został pochowany bez trumny, klęcząc pod krzyżem. Z Kaplicy rozciąga się piękny widok na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miejscowość , 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w tym na jezioro Grójec.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3171825" cy="4229100"/>
            <wp:effectExtent l="0" t="0" r="9525" b="0"/>
            <wp:docPr id="5" name="Obraz 5" descr="SSA52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SA52029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422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własne. Krzyż znajdujący się przed Kaplicą św. Krzyża.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lastRenderedPageBreak/>
        <w:drawing>
          <wp:inline distT="0" distB="0" distL="0" distR="0">
            <wp:extent cx="2895600" cy="3867150"/>
            <wp:effectExtent l="0" t="0" r="0" b="0"/>
            <wp:docPr id="4" name="Obraz 4" descr="SSA52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SA5203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własne Kaplica św. Krzyża usytuowana na dawnym Grodzisku II.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3009900" cy="4019550"/>
            <wp:effectExtent l="0" t="0" r="0" b="0"/>
            <wp:docPr id="3" name="Obraz 3" descr="SSA52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SSA5203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019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własne. Tablica pamiątkowa pochowanego pustelnika, znajduje się na murach odbudowanej Kaplicy.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ind w:firstLine="1134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lastRenderedPageBreak/>
        <w:t xml:space="preserve">Na terenie Grójca w miejscu Grodziska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I  zachowały</w:t>
      </w:r>
      <w:proofErr w:type="gramEnd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 się pozostałości parku podworskiego bogatego w starodrzew nie wykazywany w opracowaniach konserwatorskich. Aktualnie stanowi to własność </w:t>
      </w:r>
      <w:proofErr w:type="gramStart"/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prywatną .</w:t>
      </w:r>
      <w:proofErr w:type="gramEnd"/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4152900" cy="3114675"/>
            <wp:effectExtent l="0" t="0" r="0" b="9525"/>
            <wp:docPr id="2" name="Obraz 2" descr="SSA52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SSA5204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własne. Pozostałości podworskiego parku. Widok od strony jeziora Grójec.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>
        <w:rPr>
          <w:rFonts w:ascii="Tahoma" w:eastAsia="Lucida Sans Unicode" w:hAnsi="Tahoma" w:cs="Tahoma"/>
          <w:noProof/>
          <w:color w:val="000000"/>
          <w:sz w:val="28"/>
          <w:szCs w:val="28"/>
          <w:lang w:eastAsia="pl-PL"/>
        </w:rPr>
        <w:drawing>
          <wp:inline distT="0" distB="0" distL="0" distR="0">
            <wp:extent cx="2514600" cy="3362325"/>
            <wp:effectExtent l="0" t="0" r="0" b="9525"/>
            <wp:docPr id="1" name="Obraz 1" descr="SSA52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SA52046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36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center"/>
        <w:rPr>
          <w:rFonts w:ascii="Tahoma" w:eastAsia="Lucida Sans Unicode" w:hAnsi="Tahoma" w:cs="Tahoma"/>
          <w:i/>
          <w:color w:val="000000"/>
          <w:lang/>
        </w:rPr>
      </w:pPr>
      <w:r w:rsidRPr="00016CD8">
        <w:rPr>
          <w:rFonts w:ascii="Tahoma" w:eastAsia="Lucida Sans Unicode" w:hAnsi="Tahoma" w:cs="Tahoma"/>
          <w:i/>
          <w:color w:val="000000"/>
          <w:lang/>
        </w:rPr>
        <w:t>Opracowanie własne. Pozostałości podworskiego parku. Widok od strony drogi gminnej.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 xml:space="preserve">Okolice jeziora Grójec to liczne stanowiska archeologiczne skupione głównie na południowo-wschodnim brzegu jeziora. 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 informacji uzyskanych od mieszkańców wiemy o następujących znaleziskach archeologicznych:</w:t>
      </w:r>
    </w:p>
    <w:p w:rsidR="00016CD8" w:rsidRPr="00016CD8" w:rsidRDefault="00016CD8" w:rsidP="00016CD8">
      <w:pPr>
        <w:widowControl w:val="0"/>
        <w:numPr>
          <w:ilvl w:val="0"/>
          <w:numId w:val="14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Kieł mamuta-epoka neolitu,</w:t>
      </w:r>
    </w:p>
    <w:p w:rsidR="00016CD8" w:rsidRPr="00016CD8" w:rsidRDefault="00016CD8" w:rsidP="00016CD8">
      <w:pPr>
        <w:widowControl w:val="0"/>
        <w:numPr>
          <w:ilvl w:val="0"/>
          <w:numId w:val="14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Ostrza oszczepów,</w:t>
      </w:r>
    </w:p>
    <w:p w:rsidR="00016CD8" w:rsidRPr="00016CD8" w:rsidRDefault="00016CD8" w:rsidP="00016CD8">
      <w:pPr>
        <w:widowControl w:val="0"/>
        <w:numPr>
          <w:ilvl w:val="0"/>
          <w:numId w:val="14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Miecze,</w:t>
      </w:r>
    </w:p>
    <w:p w:rsidR="00016CD8" w:rsidRPr="00016CD8" w:rsidRDefault="00016CD8" w:rsidP="00016CD8">
      <w:pPr>
        <w:widowControl w:val="0"/>
        <w:numPr>
          <w:ilvl w:val="0"/>
          <w:numId w:val="14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Zwłoki rycerza średniowiecznego w pełnej zbroi,</w:t>
      </w:r>
    </w:p>
    <w:p w:rsidR="00016CD8" w:rsidRPr="00016CD8" w:rsidRDefault="00016CD8" w:rsidP="00016CD8">
      <w:pPr>
        <w:widowControl w:val="0"/>
        <w:numPr>
          <w:ilvl w:val="0"/>
          <w:numId w:val="14"/>
        </w:numPr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  <w:r w:rsidRPr="00016CD8">
        <w:rPr>
          <w:rFonts w:ascii="Tahoma" w:eastAsia="Lucida Sans Unicode" w:hAnsi="Tahoma" w:cs="Tahoma"/>
          <w:color w:val="000000"/>
          <w:sz w:val="28"/>
          <w:szCs w:val="28"/>
          <w:lang/>
        </w:rPr>
        <w:t>Monety od czasów średniowiecznych najstarsza 1248 roku, do czasów współczesnych.</w:t>
      </w: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016CD8" w:rsidRPr="00016CD8" w:rsidRDefault="00016CD8" w:rsidP="00016CD8">
      <w:pPr>
        <w:widowControl w:val="0"/>
        <w:suppressAutoHyphens/>
        <w:spacing w:after="0" w:line="360" w:lineRule="auto"/>
        <w:jc w:val="both"/>
        <w:rPr>
          <w:rFonts w:ascii="Tahoma" w:eastAsia="Lucida Sans Unicode" w:hAnsi="Tahoma" w:cs="Tahoma"/>
          <w:color w:val="000000"/>
          <w:sz w:val="28"/>
          <w:szCs w:val="28"/>
          <w:lang/>
        </w:rPr>
      </w:pPr>
    </w:p>
    <w:p w:rsidR="00F6376F" w:rsidRDefault="00F6376F">
      <w:bookmarkStart w:id="0" w:name="_GoBack"/>
      <w:bookmarkEnd w:id="0"/>
    </w:p>
    <w:sectPr w:rsidR="00F63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imesNewRoman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StarSymbol">
    <w:altName w:val="Arial Unicode MS"/>
    <w:charset w:val="02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283"/>
      </w:pPr>
    </w:lvl>
    <w:lvl w:ilvl="1">
      <w:start w:val="1"/>
      <w:numFmt w:val="decimal"/>
      <w:lvlText w:val="%2."/>
      <w:lvlJc w:val="left"/>
      <w:pPr>
        <w:tabs>
          <w:tab w:val="num" w:pos="709"/>
        </w:tabs>
        <w:ind w:left="709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>
    <w:nsid w:val="07D7008D"/>
    <w:multiLevelType w:val="hybridMultilevel"/>
    <w:tmpl w:val="A1F0171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A27209"/>
    <w:multiLevelType w:val="hybridMultilevel"/>
    <w:tmpl w:val="929A81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FB1DB4"/>
    <w:multiLevelType w:val="multilevel"/>
    <w:tmpl w:val="4F3C1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551B280A"/>
    <w:multiLevelType w:val="hybridMultilevel"/>
    <w:tmpl w:val="027A5628"/>
    <w:lvl w:ilvl="0" w:tplc="9A58C7D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51E21F9"/>
    <w:multiLevelType w:val="hybridMultilevel"/>
    <w:tmpl w:val="31B69F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9A30DD0"/>
    <w:multiLevelType w:val="multilevel"/>
    <w:tmpl w:val="24B20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7">
    <w:nsid w:val="64887B5A"/>
    <w:multiLevelType w:val="multilevel"/>
    <w:tmpl w:val="EB8A97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65E84142"/>
    <w:multiLevelType w:val="multilevel"/>
    <w:tmpl w:val="AA728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9">
    <w:nsid w:val="65FA7946"/>
    <w:multiLevelType w:val="hybridMultilevel"/>
    <w:tmpl w:val="6552910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F724600"/>
    <w:multiLevelType w:val="multilevel"/>
    <w:tmpl w:val="620AA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>
    <w:nsid w:val="76A97D82"/>
    <w:multiLevelType w:val="hybridMultilevel"/>
    <w:tmpl w:val="F4F87834"/>
    <w:lvl w:ilvl="0" w:tplc="0415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F6280FE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8B62F41"/>
    <w:multiLevelType w:val="hybridMultilevel"/>
    <w:tmpl w:val="2C6C702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96C7D1C"/>
    <w:multiLevelType w:val="hybridMultilevel"/>
    <w:tmpl w:val="588C604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2"/>
  </w:num>
  <w:num w:numId="5">
    <w:abstractNumId w:val="4"/>
  </w:num>
  <w:num w:numId="6">
    <w:abstractNumId w:val="5"/>
  </w:num>
  <w:num w:numId="7">
    <w:abstractNumId w:val="9"/>
  </w:num>
  <w:num w:numId="8">
    <w:abstractNumId w:val="1"/>
  </w:num>
  <w:num w:numId="9">
    <w:abstractNumId w:val="7"/>
  </w:num>
  <w:num w:numId="10">
    <w:abstractNumId w:val="3"/>
  </w:num>
  <w:num w:numId="11">
    <w:abstractNumId w:val="6"/>
  </w:num>
  <w:num w:numId="12">
    <w:abstractNumId w:val="8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CD8"/>
    <w:rsid w:val="00016CD8"/>
    <w:rsid w:val="00F637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6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C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6C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6C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chart" Target="charts/chart1.xml"/><Relationship Id="rId26" Type="http://schemas.openxmlformats.org/officeDocument/2006/relationships/image" Target="media/image18.jpeg"/><Relationship Id="rId3" Type="http://schemas.microsoft.com/office/2007/relationships/stylesWithEffects" Target="stylesWithEffect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10.emf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pl.wikipedia.org/wiki/Wojew%C3%B3dztwo_w%C5%82oc%C5%82awskie" TargetMode="External"/><Relationship Id="rId24" Type="http://schemas.openxmlformats.org/officeDocument/2006/relationships/image" Target="media/image16.jpeg"/><Relationship Id="rId32" Type="http://schemas.openxmlformats.org/officeDocument/2006/relationships/image" Target="media/image2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chart" Target="charts/chart2.xml"/><Relationship Id="rId10" Type="http://schemas.openxmlformats.org/officeDocument/2006/relationships/hyperlink" Target="http://pl.wikipedia.org/wiki/Podzia%C5%82_administracyjny_Polski_1975-1998" TargetMode="External"/><Relationship Id="rId19" Type="http://schemas.openxmlformats.org/officeDocument/2006/relationships/image" Target="media/image11.jpeg"/><Relationship Id="rId31" Type="http://schemas.openxmlformats.org/officeDocument/2006/relationships/image" Target="media/image22.jpeg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1.jpe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2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cat>
            <c:multiLvlStrRef>
              <c:f>Arkusz1!$A$1:$C$2</c:f>
              <c:multiLvlStrCache>
                <c:ptCount val="3"/>
                <c:lvl>
                  <c:pt idx="1">
                    <c:v>/ha/</c:v>
                  </c:pt>
                  <c:pt idx="2">
                    <c:v>/ ha/</c:v>
                  </c:pt>
                </c:lvl>
                <c:lvl>
                  <c:pt idx="0">
                    <c:v>Ogólna powierzchnia/ha/</c:v>
                  </c:pt>
                  <c:pt idx="1">
                    <c:v>Lasy do 40 lat </c:v>
                  </c:pt>
                  <c:pt idx="2">
                    <c:v>Lasy powyżej 40 lat </c:v>
                  </c:pt>
                </c:lvl>
              </c:multiLvlStrCache>
            </c:multiLvlStrRef>
          </c:cat>
          <c:val>
            <c:numRef>
              <c:f>Arkusz1!$A$3:$C$3</c:f>
              <c:numCache>
                <c:formatCode>General</c:formatCode>
                <c:ptCount val="3"/>
                <c:pt idx="0">
                  <c:v>14.63</c:v>
                </c:pt>
                <c:pt idx="1">
                  <c:v>9.6199999999999992</c:v>
                </c:pt>
                <c:pt idx="2">
                  <c:v>5.01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49068160"/>
        <c:axId val="278024960"/>
      </c:barChart>
      <c:catAx>
        <c:axId val="2490681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crossAx val="278024960"/>
        <c:crosses val="autoZero"/>
        <c:auto val="1"/>
        <c:lblAlgn val="ctr"/>
        <c:lblOffset val="100"/>
        <c:noMultiLvlLbl val="0"/>
      </c:catAx>
      <c:valAx>
        <c:axId val="278024960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crossAx val="249068160"/>
        <c:crosses val="autoZero"/>
        <c:crossBetween val="between"/>
      </c:valAx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/>
      <c:pie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Pt>
            <c:idx val="5"/>
            <c:bubble3D val="0"/>
          </c:dPt>
          <c:dPt>
            <c:idx val="6"/>
            <c:bubble3D val="0"/>
          </c:dPt>
          <c:dPt>
            <c:idx val="7"/>
            <c:bubble3D val="0"/>
          </c:dPt>
          <c:dPt>
            <c:idx val="8"/>
            <c:bubble3D val="0"/>
          </c:dPt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Arkusz1!$A$1:$I$1</c:f>
              <c:strCache>
                <c:ptCount val="9"/>
                <c:pt idx="0">
                  <c:v>Ogólna powierzchnia /ha/</c:v>
                </c:pt>
                <c:pt idx="1">
                  <c:v>II</c:v>
                </c:pt>
                <c:pt idx="2">
                  <c:v>IIIa</c:v>
                </c:pt>
                <c:pt idx="3">
                  <c:v>IIIb</c:v>
                </c:pt>
                <c:pt idx="4">
                  <c:v>IVa</c:v>
                </c:pt>
                <c:pt idx="5">
                  <c:v>IVb</c:v>
                </c:pt>
                <c:pt idx="6">
                  <c:v>V</c:v>
                </c:pt>
                <c:pt idx="7">
                  <c:v>VI</c:v>
                </c:pt>
                <c:pt idx="8">
                  <c:v>Grunty bez klasy </c:v>
                </c:pt>
              </c:strCache>
            </c:strRef>
          </c:cat>
          <c:val>
            <c:numRef>
              <c:f>Arkusz1!$A$2:$I$2</c:f>
              <c:numCache>
                <c:formatCode>General</c:formatCode>
                <c:ptCount val="9"/>
                <c:pt idx="0">
                  <c:v>232.11</c:v>
                </c:pt>
                <c:pt idx="1">
                  <c:v>8.06</c:v>
                </c:pt>
                <c:pt idx="2">
                  <c:v>44.93</c:v>
                </c:pt>
                <c:pt idx="3">
                  <c:v>80.55</c:v>
                </c:pt>
                <c:pt idx="4">
                  <c:v>45.92</c:v>
                </c:pt>
                <c:pt idx="5">
                  <c:v>28.12</c:v>
                </c:pt>
                <c:pt idx="6">
                  <c:v>17.73</c:v>
                </c:pt>
                <c:pt idx="7">
                  <c:v>6.67</c:v>
                </c:pt>
                <c:pt idx="8">
                  <c:v>0.13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 w="25373">
          <a:noFill/>
        </a:ln>
      </c:spPr>
    </c:plotArea>
    <c:legend>
      <c:legendPos val="r"/>
      <c:overlay val="0"/>
    </c:legend>
    <c:plotVisOnly val="1"/>
    <c:dispBlanksAs val="gap"/>
    <c:showDLblsOverMax val="0"/>
  </c:chart>
  <c:externalData r:id="rId2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Pakiet 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Pakiet 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Pakiet 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31</Pages>
  <Words>2854</Words>
  <Characters>17126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Bywalscy</Company>
  <LinksUpToDate>false</LinksUpToDate>
  <CharactersWithSpaces>19941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Dom</cp:lastModifiedBy>
  <cp:revision>1</cp:revision>
  <dcterms:created xsi:type="dcterms:W3CDTF">2016-01-11T19:11:00Z</dcterms:created>
  <dcterms:modified xsi:type="dcterms:W3CDTF">2016-01-11T19:12:00Z</dcterms:modified>
</cp:coreProperties>
</file>